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199A7" w14:textId="77777777" w:rsidR="00CB61C0" w:rsidRDefault="00CB61C0" w:rsidP="00A837CA">
      <w:pPr>
        <w:spacing w:after="0" w:line="240" w:lineRule="auto"/>
        <w:rPr>
          <w:rFonts w:ascii="Arial" w:hAnsi="Arial" w:cs="Arial"/>
          <w:b/>
          <w:bCs/>
          <w:u w:val="single"/>
        </w:rPr>
      </w:pPr>
    </w:p>
    <w:p w14:paraId="6495C3B6" w14:textId="00357884" w:rsidR="00CB61C0" w:rsidRPr="00227C64" w:rsidRDefault="00CB61C0" w:rsidP="00CB61C0">
      <w:pPr>
        <w:tabs>
          <w:tab w:val="left" w:pos="8616"/>
        </w:tabs>
        <w:jc w:val="center"/>
        <w:rPr>
          <w:rFonts w:ascii="Arial" w:hAnsi="Arial" w:cs="Arial"/>
          <w:b/>
          <w:bCs/>
          <w:sz w:val="28"/>
          <w:szCs w:val="28"/>
        </w:rPr>
      </w:pPr>
      <w:r w:rsidRPr="00227C64">
        <w:rPr>
          <w:rFonts w:ascii="Arial" w:hAnsi="Arial" w:cs="Arial"/>
          <w:b/>
          <w:bCs/>
          <w:sz w:val="28"/>
          <w:szCs w:val="28"/>
        </w:rPr>
        <w:t xml:space="preserve">PRACTICAL </w:t>
      </w:r>
      <w:r w:rsidR="005E2557">
        <w:rPr>
          <w:rFonts w:ascii="Arial" w:hAnsi="Arial" w:cs="Arial"/>
          <w:b/>
          <w:bCs/>
          <w:sz w:val="28"/>
          <w:szCs w:val="28"/>
        </w:rPr>
        <w:t>Meta-analysis summary</w:t>
      </w:r>
      <w:r w:rsidRPr="00227C64">
        <w:rPr>
          <w:rFonts w:ascii="Arial" w:hAnsi="Arial" w:cs="Arial"/>
          <w:b/>
          <w:bCs/>
          <w:sz w:val="28"/>
          <w:szCs w:val="28"/>
        </w:rPr>
        <w:t xml:space="preserve"> data files </w:t>
      </w:r>
    </w:p>
    <w:p w14:paraId="608218BF" w14:textId="77777777" w:rsidR="00CB61C0" w:rsidRPr="00227C64" w:rsidRDefault="00CB61C0" w:rsidP="00CB61C0">
      <w:pPr>
        <w:tabs>
          <w:tab w:val="left" w:pos="8616"/>
        </w:tabs>
        <w:spacing w:after="120" w:line="240" w:lineRule="auto"/>
        <w:rPr>
          <w:rFonts w:ascii="Arial" w:hAnsi="Arial" w:cs="Arial"/>
          <w:b/>
          <w:bCs/>
          <w:color w:val="0000FF"/>
        </w:rPr>
      </w:pPr>
      <w:r w:rsidRPr="00227C64">
        <w:rPr>
          <w:rFonts w:ascii="Arial" w:hAnsi="Arial" w:cs="Arial"/>
          <w:b/>
          <w:bCs/>
          <w:color w:val="0000FF"/>
        </w:rPr>
        <w:t>This document provides information about:</w:t>
      </w:r>
    </w:p>
    <w:p w14:paraId="415957E3" w14:textId="77777777" w:rsidR="00035E31" w:rsidRDefault="00035E31" w:rsidP="00CB61C0">
      <w:pPr>
        <w:tabs>
          <w:tab w:val="left" w:pos="8616"/>
        </w:tabs>
        <w:spacing w:after="120" w:line="240" w:lineRule="auto"/>
        <w:ind w:left="360"/>
        <w:rPr>
          <w:rFonts w:ascii="Arial" w:hAnsi="Arial" w:cs="Arial"/>
          <w:b/>
          <w:bCs/>
          <w:color w:val="0000FF"/>
        </w:rPr>
      </w:pPr>
      <w:r>
        <w:rPr>
          <w:rFonts w:ascii="Arial" w:hAnsi="Arial" w:cs="Arial"/>
          <w:b/>
          <w:bCs/>
          <w:color w:val="0000FF"/>
        </w:rPr>
        <w:t>A</w:t>
      </w:r>
      <w:r w:rsidR="00CB61C0" w:rsidRPr="00227C64">
        <w:rPr>
          <w:rFonts w:ascii="Arial" w:hAnsi="Arial" w:cs="Arial"/>
          <w:b/>
          <w:bCs/>
          <w:color w:val="0000FF"/>
        </w:rPr>
        <w:t xml:space="preserve">/ </w:t>
      </w:r>
      <w:r w:rsidR="00846C36">
        <w:rPr>
          <w:rFonts w:ascii="Arial" w:hAnsi="Arial" w:cs="Arial"/>
          <w:b/>
          <w:bCs/>
          <w:color w:val="0000FF"/>
        </w:rPr>
        <w:t>Description of the imputation</w:t>
      </w:r>
    </w:p>
    <w:p w14:paraId="3346EB23" w14:textId="0269D334" w:rsidR="00CB61C0" w:rsidRPr="00227C64" w:rsidRDefault="00035E31" w:rsidP="00CB61C0">
      <w:pPr>
        <w:tabs>
          <w:tab w:val="left" w:pos="8616"/>
        </w:tabs>
        <w:spacing w:after="120" w:line="240" w:lineRule="auto"/>
        <w:ind w:left="360"/>
        <w:rPr>
          <w:rFonts w:ascii="Arial" w:hAnsi="Arial" w:cs="Arial"/>
          <w:b/>
          <w:bCs/>
          <w:color w:val="0000FF"/>
        </w:rPr>
      </w:pPr>
      <w:r>
        <w:rPr>
          <w:rFonts w:ascii="Arial" w:hAnsi="Arial" w:cs="Arial"/>
          <w:b/>
          <w:bCs/>
          <w:color w:val="0000FF"/>
        </w:rPr>
        <w:t xml:space="preserve">B/ Description of the </w:t>
      </w:r>
      <w:r w:rsidR="00CB61C0" w:rsidRPr="00227C64">
        <w:rPr>
          <w:rFonts w:ascii="Arial" w:hAnsi="Arial" w:cs="Arial"/>
          <w:b/>
          <w:bCs/>
          <w:color w:val="0000FF"/>
        </w:rPr>
        <w:t xml:space="preserve">summary statistics </w:t>
      </w:r>
      <w:r w:rsidR="009B7F91">
        <w:rPr>
          <w:rFonts w:ascii="Arial" w:hAnsi="Arial" w:cs="Arial"/>
          <w:b/>
          <w:bCs/>
          <w:color w:val="0000FF"/>
        </w:rPr>
        <w:t>(overall a</w:t>
      </w:r>
      <w:r w:rsidR="003B25A7">
        <w:rPr>
          <w:rFonts w:ascii="Arial" w:hAnsi="Arial" w:cs="Arial"/>
          <w:b/>
          <w:bCs/>
          <w:color w:val="0000FF"/>
        </w:rPr>
        <w:t>n</w:t>
      </w:r>
      <w:r w:rsidR="009B7F91">
        <w:rPr>
          <w:rFonts w:ascii="Arial" w:hAnsi="Arial" w:cs="Arial"/>
          <w:b/>
          <w:bCs/>
          <w:color w:val="0000FF"/>
        </w:rPr>
        <w:t>a</w:t>
      </w:r>
      <w:r w:rsidR="003B25A7">
        <w:rPr>
          <w:rFonts w:ascii="Arial" w:hAnsi="Arial" w:cs="Arial"/>
          <w:b/>
          <w:bCs/>
          <w:color w:val="0000FF"/>
        </w:rPr>
        <w:t>lysis)</w:t>
      </w:r>
    </w:p>
    <w:p w14:paraId="694058A6" w14:textId="7F15EFAA" w:rsidR="00CB61C0" w:rsidRDefault="007B1F04" w:rsidP="00CB61C0">
      <w:pPr>
        <w:pStyle w:val="ListParagraph"/>
        <w:tabs>
          <w:tab w:val="left" w:pos="8616"/>
        </w:tabs>
        <w:spacing w:after="0" w:line="240" w:lineRule="auto"/>
        <w:ind w:left="360"/>
        <w:rPr>
          <w:rFonts w:ascii="Arial" w:hAnsi="Arial" w:cs="Arial"/>
          <w:b/>
          <w:bCs/>
          <w:color w:val="0000FF"/>
        </w:rPr>
      </w:pPr>
      <w:r>
        <w:rPr>
          <w:rFonts w:ascii="Arial" w:hAnsi="Arial" w:cs="Arial"/>
          <w:b/>
          <w:bCs/>
          <w:color w:val="0000FF"/>
        </w:rPr>
        <w:t>C</w:t>
      </w:r>
      <w:r w:rsidR="00CB61C0" w:rsidRPr="00227C64">
        <w:rPr>
          <w:rFonts w:ascii="Arial" w:hAnsi="Arial" w:cs="Arial"/>
          <w:b/>
          <w:bCs/>
          <w:color w:val="0000FF"/>
        </w:rPr>
        <w:t xml:space="preserve">/ </w:t>
      </w:r>
      <w:r w:rsidR="005E2557">
        <w:rPr>
          <w:rFonts w:ascii="Arial" w:hAnsi="Arial" w:cs="Arial"/>
          <w:b/>
          <w:bCs/>
          <w:color w:val="0000FF"/>
        </w:rPr>
        <w:t>Acknowledgements</w:t>
      </w:r>
    </w:p>
    <w:p w14:paraId="008B8F15" w14:textId="77777777" w:rsidR="009B7F91" w:rsidRDefault="009B7F91" w:rsidP="00846C36">
      <w:pPr>
        <w:pStyle w:val="ListParagraph"/>
        <w:tabs>
          <w:tab w:val="left" w:pos="8616"/>
        </w:tabs>
        <w:spacing w:after="0" w:line="240" w:lineRule="auto"/>
        <w:ind w:left="0"/>
        <w:rPr>
          <w:rFonts w:ascii="Arial" w:hAnsi="Arial" w:cs="Arial"/>
          <w:bCs/>
        </w:rPr>
      </w:pPr>
    </w:p>
    <w:p w14:paraId="0A3F14F7" w14:textId="77777777" w:rsidR="00D07CFD" w:rsidRPr="00B74C22" w:rsidRDefault="00D07CFD" w:rsidP="00B74C22">
      <w:pPr>
        <w:pStyle w:val="ListParagraph"/>
        <w:tabs>
          <w:tab w:val="left" w:pos="8616"/>
        </w:tabs>
        <w:spacing w:after="0" w:line="240" w:lineRule="auto"/>
        <w:ind w:left="0"/>
        <w:rPr>
          <w:rFonts w:ascii="Arial" w:hAnsi="Arial" w:cs="Arial"/>
          <w:bCs/>
        </w:rPr>
      </w:pPr>
    </w:p>
    <w:p w14:paraId="3C42961A" w14:textId="4029AA4B" w:rsidR="00B74C22" w:rsidRDefault="00B74C22" w:rsidP="00B74C22">
      <w:pPr>
        <w:pStyle w:val="ListParagraph"/>
        <w:numPr>
          <w:ilvl w:val="0"/>
          <w:numId w:val="1"/>
        </w:numPr>
        <w:tabs>
          <w:tab w:val="left" w:pos="8616"/>
        </w:tabs>
        <w:spacing w:after="0" w:line="240" w:lineRule="auto"/>
        <w:rPr>
          <w:rFonts w:ascii="Arial" w:hAnsi="Arial" w:cs="Arial"/>
          <w:b/>
          <w:bCs/>
          <w:u w:val="single"/>
        </w:rPr>
      </w:pPr>
      <w:r>
        <w:rPr>
          <w:rFonts w:ascii="Arial" w:hAnsi="Arial" w:cs="Arial"/>
          <w:b/>
          <w:bCs/>
          <w:u w:val="single"/>
        </w:rPr>
        <w:t>Imputation</w:t>
      </w:r>
    </w:p>
    <w:p w14:paraId="36F33170" w14:textId="77777777" w:rsidR="003A0FAD" w:rsidRPr="00CA2D26" w:rsidRDefault="003A0FAD" w:rsidP="00A837CA">
      <w:pPr>
        <w:tabs>
          <w:tab w:val="left" w:pos="8616"/>
        </w:tabs>
        <w:spacing w:after="0" w:line="240" w:lineRule="auto"/>
        <w:rPr>
          <w:rFonts w:ascii="Arial" w:hAnsi="Arial" w:cs="Arial"/>
          <w:bCs/>
        </w:rPr>
      </w:pPr>
    </w:p>
    <w:p w14:paraId="4A6994AF" w14:textId="77777777" w:rsidR="00B74C22" w:rsidRDefault="00B74C22" w:rsidP="00A837CA">
      <w:pPr>
        <w:tabs>
          <w:tab w:val="left" w:pos="8616"/>
        </w:tabs>
        <w:spacing w:after="0" w:line="240" w:lineRule="auto"/>
        <w:rPr>
          <w:rFonts w:ascii="Arial" w:hAnsi="Arial" w:cs="Arial"/>
          <w:bCs/>
        </w:rPr>
      </w:pPr>
      <w:r w:rsidRPr="00B74C22">
        <w:rPr>
          <w:rFonts w:ascii="Arial" w:hAnsi="Arial" w:cs="Arial"/>
          <w:bCs/>
        </w:rPr>
        <w:t>Genotypes for ~70M SNPs were imputed for all samples using the October 2014 (Phase 3) release of the 1000 Genomes Project data as the reference panel. The OncoArray and GWAS datasets were imputed using a two-stage imputation approach, using SHAPEIT20 for phasing and IMPUTEv221 for imputation. The imputation was performed in 5Mb non-overlapping intervals. All subjects were split into subsets of ~10,000 samples, with subjects from the same grouped in the subset. We imputed genotypes for all SNPs that were polymorphic (MAF&gt;0.1%) in either European or Asian samples. We excluded data for all monomorphic SNPs and those with an imputation r2&lt;0.3 leaving a total of 21,465,239 SNP across chromosomes 1-22 and chromosome X.</w:t>
      </w:r>
    </w:p>
    <w:p w14:paraId="10A00B4E" w14:textId="77777777" w:rsidR="00B74C22" w:rsidRDefault="00B74C22" w:rsidP="00A837CA">
      <w:pPr>
        <w:tabs>
          <w:tab w:val="left" w:pos="8616"/>
        </w:tabs>
        <w:spacing w:after="0" w:line="240" w:lineRule="auto"/>
        <w:rPr>
          <w:rFonts w:ascii="Arial" w:hAnsi="Arial" w:cs="Arial"/>
          <w:bCs/>
        </w:rPr>
      </w:pPr>
    </w:p>
    <w:p w14:paraId="5032476F" w14:textId="59005ED9" w:rsidR="00B74C22" w:rsidRDefault="00B74C22" w:rsidP="00B74C22">
      <w:pPr>
        <w:pStyle w:val="ListParagraph"/>
        <w:numPr>
          <w:ilvl w:val="0"/>
          <w:numId w:val="1"/>
        </w:numPr>
        <w:tabs>
          <w:tab w:val="left" w:pos="8616"/>
        </w:tabs>
        <w:spacing w:after="0" w:line="240" w:lineRule="auto"/>
        <w:rPr>
          <w:rFonts w:ascii="Arial" w:hAnsi="Arial" w:cs="Arial"/>
          <w:b/>
          <w:bCs/>
          <w:u w:val="single"/>
        </w:rPr>
      </w:pPr>
      <w:r>
        <w:rPr>
          <w:rFonts w:ascii="Arial" w:hAnsi="Arial" w:cs="Arial"/>
          <w:b/>
          <w:bCs/>
          <w:u w:val="single"/>
        </w:rPr>
        <w:t>Statistical analysis</w:t>
      </w:r>
    </w:p>
    <w:p w14:paraId="72FAF23B" w14:textId="77777777" w:rsidR="00232275" w:rsidRPr="00CA2D26" w:rsidRDefault="00232275" w:rsidP="00232275">
      <w:pPr>
        <w:tabs>
          <w:tab w:val="left" w:pos="8616"/>
        </w:tabs>
        <w:spacing w:after="0" w:line="240" w:lineRule="auto"/>
        <w:rPr>
          <w:rFonts w:ascii="Arial" w:hAnsi="Arial" w:cs="Arial"/>
          <w:bCs/>
        </w:rPr>
      </w:pPr>
    </w:p>
    <w:p w14:paraId="168860DB" w14:textId="77777777" w:rsidR="00B74C22" w:rsidRPr="00B74C22" w:rsidRDefault="00B74C22" w:rsidP="00B74C22">
      <w:pPr>
        <w:tabs>
          <w:tab w:val="left" w:pos="8616"/>
        </w:tabs>
        <w:spacing w:after="0" w:line="240" w:lineRule="auto"/>
        <w:rPr>
          <w:rFonts w:ascii="Arial" w:hAnsi="Arial" w:cs="Arial"/>
          <w:bCs/>
        </w:rPr>
      </w:pPr>
      <w:r w:rsidRPr="00B74C22">
        <w:rPr>
          <w:rFonts w:ascii="Arial" w:hAnsi="Arial" w:cs="Arial"/>
          <w:bCs/>
        </w:rPr>
        <w:t xml:space="preserve">Per-allele odds ratios and standard errors were generated for the OncoArray and each GWAS, adjusting for principal components and study relevant covariates using logistic regression. The OncoArray and iCOGS analyses were additionally stratified by country and study, respectively. We used the first seven principal components in European and first four principal components for Asian, as additional components did not further reduce inflation in the test statistics. </w:t>
      </w:r>
    </w:p>
    <w:p w14:paraId="08F86DF4" w14:textId="77777777" w:rsidR="00B74C22" w:rsidRPr="00B74C22" w:rsidRDefault="00B74C22" w:rsidP="00B74C22">
      <w:pPr>
        <w:tabs>
          <w:tab w:val="left" w:pos="8616"/>
        </w:tabs>
        <w:spacing w:after="0" w:line="240" w:lineRule="auto"/>
        <w:rPr>
          <w:rFonts w:ascii="Arial" w:hAnsi="Arial" w:cs="Arial"/>
          <w:bCs/>
        </w:rPr>
      </w:pPr>
    </w:p>
    <w:p w14:paraId="14E5BEEF" w14:textId="6B6E26DE" w:rsidR="00B74C22" w:rsidRDefault="00B74C22" w:rsidP="00B74C22">
      <w:pPr>
        <w:tabs>
          <w:tab w:val="left" w:pos="8616"/>
        </w:tabs>
        <w:spacing w:after="0" w:line="240" w:lineRule="auto"/>
        <w:rPr>
          <w:rFonts w:ascii="Arial" w:hAnsi="Arial" w:cs="Arial"/>
          <w:bCs/>
        </w:rPr>
      </w:pPr>
      <w:r w:rsidRPr="00B74C22">
        <w:rPr>
          <w:rFonts w:ascii="Arial" w:hAnsi="Arial" w:cs="Arial"/>
          <w:bCs/>
        </w:rPr>
        <w:t>Odds ratio (OR) estimates were derived using either SNPTEST (https://mathgen.stats.ox.ac.uk/genetics_software/snptest/snptest.html) or an in-house C++ program. OR estimates and standard errors were combined by a fixed effects inverse variance meta-analysis using METAL22.  All statistical tests conducted were two-sided.</w:t>
      </w:r>
    </w:p>
    <w:p w14:paraId="762986F4" w14:textId="77777777" w:rsidR="00B74C22" w:rsidRDefault="00B74C22" w:rsidP="00B74C22">
      <w:pPr>
        <w:tabs>
          <w:tab w:val="left" w:pos="8616"/>
        </w:tabs>
        <w:spacing w:after="0" w:line="240" w:lineRule="auto"/>
        <w:rPr>
          <w:rFonts w:ascii="Arial" w:hAnsi="Arial" w:cs="Arial"/>
          <w:bCs/>
        </w:rPr>
      </w:pPr>
    </w:p>
    <w:p w14:paraId="3174326A" w14:textId="20274606" w:rsidR="00232275" w:rsidRDefault="00232275" w:rsidP="00B74C22">
      <w:pPr>
        <w:tabs>
          <w:tab w:val="left" w:pos="8616"/>
        </w:tabs>
        <w:spacing w:after="0" w:line="240" w:lineRule="auto"/>
        <w:rPr>
          <w:rFonts w:ascii="Arial" w:hAnsi="Arial" w:cs="Arial"/>
          <w:bCs/>
        </w:rPr>
      </w:pPr>
      <w:r w:rsidRPr="00CA2D26">
        <w:rPr>
          <w:rFonts w:ascii="Arial" w:hAnsi="Arial" w:cs="Arial"/>
          <w:bCs/>
        </w:rPr>
        <w:t xml:space="preserve">For the </w:t>
      </w:r>
      <w:r w:rsidRPr="007B0179">
        <w:rPr>
          <w:rFonts w:ascii="Arial" w:hAnsi="Arial" w:cs="Arial"/>
          <w:b/>
          <w:bCs/>
        </w:rPr>
        <w:t>overall analysis</w:t>
      </w:r>
      <w:r w:rsidRPr="00CA2D26">
        <w:rPr>
          <w:rFonts w:ascii="Arial" w:hAnsi="Arial" w:cs="Arial"/>
          <w:bCs/>
        </w:rPr>
        <w:t xml:space="preserve"> no</w:t>
      </w:r>
      <w:r w:rsidR="007B0179">
        <w:rPr>
          <w:rFonts w:ascii="Arial" w:hAnsi="Arial" w:cs="Arial"/>
          <w:bCs/>
        </w:rPr>
        <w:t xml:space="preserve"> other covariates than the PCs </w:t>
      </w:r>
      <w:r w:rsidRPr="00CA2D26">
        <w:rPr>
          <w:rFonts w:ascii="Arial" w:hAnsi="Arial" w:cs="Arial"/>
          <w:bCs/>
        </w:rPr>
        <w:t>were included in the model. A fixed effect model was used. The data was analysed stratified by country. Those countries with less than 50 samples (cases or controls) were excluded from analysis. The country variable is bas</w:t>
      </w:r>
      <w:r w:rsidR="00F22EF4" w:rsidRPr="00CA2D26">
        <w:rPr>
          <w:rFonts w:ascii="Arial" w:hAnsi="Arial" w:cs="Arial"/>
          <w:bCs/>
        </w:rPr>
        <w:t>ed on the country of each Study in each GWAS.</w:t>
      </w:r>
      <w:r w:rsidRPr="00CA2D26">
        <w:rPr>
          <w:rFonts w:ascii="Arial" w:hAnsi="Arial" w:cs="Arial"/>
          <w:bCs/>
        </w:rPr>
        <w:t xml:space="preserve"> </w:t>
      </w:r>
      <w:r w:rsidR="00841FD0">
        <w:rPr>
          <w:rFonts w:ascii="Arial" w:hAnsi="Arial" w:cs="Arial"/>
          <w:bCs/>
        </w:rPr>
        <w:t>The samples included in the analysis are:</w:t>
      </w:r>
    </w:p>
    <w:p w14:paraId="786685F5" w14:textId="77777777" w:rsidR="00841FD0" w:rsidRDefault="00841FD0" w:rsidP="00B74C22">
      <w:pPr>
        <w:tabs>
          <w:tab w:val="left" w:pos="8616"/>
        </w:tabs>
        <w:spacing w:after="0" w:line="240" w:lineRule="auto"/>
        <w:rPr>
          <w:rFonts w:ascii="Arial" w:hAnsi="Arial" w:cs="Arial"/>
          <w:bCs/>
        </w:rPr>
      </w:pPr>
    </w:p>
    <w:tbl>
      <w:tblPr>
        <w:tblStyle w:val="TableGrid"/>
        <w:tblW w:w="0" w:type="auto"/>
        <w:tblLook w:val="04A0" w:firstRow="1" w:lastRow="0" w:firstColumn="1" w:lastColumn="0" w:noHBand="0" w:noVBand="1"/>
      </w:tblPr>
      <w:tblGrid>
        <w:gridCol w:w="2404"/>
        <w:gridCol w:w="278"/>
        <w:gridCol w:w="1525"/>
        <w:gridCol w:w="2197"/>
        <w:gridCol w:w="951"/>
      </w:tblGrid>
      <w:tr w:rsidR="00841FD0" w:rsidRPr="00CA2D26" w14:paraId="7CBAF2F5" w14:textId="77777777" w:rsidTr="00D979D5">
        <w:trPr>
          <w:trHeight w:val="292"/>
        </w:trPr>
        <w:tc>
          <w:tcPr>
            <w:tcW w:w="2404" w:type="dxa"/>
            <w:noWrap/>
            <w:hideMark/>
          </w:tcPr>
          <w:p w14:paraId="37FCF4BD" w14:textId="77777777" w:rsidR="00841FD0" w:rsidRPr="00CA2D26" w:rsidRDefault="00841FD0" w:rsidP="00D979D5">
            <w:pPr>
              <w:tabs>
                <w:tab w:val="left" w:pos="8616"/>
              </w:tabs>
              <w:rPr>
                <w:rFonts w:ascii="Arial" w:hAnsi="Arial" w:cs="Arial"/>
                <w:bCs/>
              </w:rPr>
            </w:pPr>
          </w:p>
        </w:tc>
        <w:tc>
          <w:tcPr>
            <w:tcW w:w="278" w:type="dxa"/>
            <w:noWrap/>
            <w:hideMark/>
          </w:tcPr>
          <w:p w14:paraId="7E45CD6C" w14:textId="77777777" w:rsidR="00841FD0" w:rsidRPr="00CA2D26" w:rsidRDefault="00841FD0" w:rsidP="00D979D5">
            <w:pPr>
              <w:tabs>
                <w:tab w:val="left" w:pos="8616"/>
              </w:tabs>
              <w:rPr>
                <w:rFonts w:ascii="Arial" w:hAnsi="Arial" w:cs="Arial"/>
                <w:bCs/>
              </w:rPr>
            </w:pPr>
          </w:p>
        </w:tc>
        <w:tc>
          <w:tcPr>
            <w:tcW w:w="1525" w:type="dxa"/>
            <w:hideMark/>
          </w:tcPr>
          <w:p w14:paraId="56E6B579" w14:textId="77777777" w:rsidR="00841FD0" w:rsidRPr="00CA2D26" w:rsidRDefault="00841FD0" w:rsidP="00D979D5">
            <w:pPr>
              <w:tabs>
                <w:tab w:val="left" w:pos="8616"/>
              </w:tabs>
              <w:rPr>
                <w:rFonts w:ascii="Arial" w:hAnsi="Arial" w:cs="Arial"/>
                <w:bCs/>
              </w:rPr>
            </w:pPr>
            <w:r w:rsidRPr="00CA2D26">
              <w:rPr>
                <w:rFonts w:ascii="Arial" w:hAnsi="Arial" w:cs="Arial"/>
                <w:bCs/>
              </w:rPr>
              <w:t>PrCa Cases</w:t>
            </w:r>
          </w:p>
        </w:tc>
        <w:tc>
          <w:tcPr>
            <w:tcW w:w="2197" w:type="dxa"/>
            <w:hideMark/>
          </w:tcPr>
          <w:p w14:paraId="6BCCCBEE" w14:textId="77777777" w:rsidR="00841FD0" w:rsidRPr="00CA2D26" w:rsidRDefault="00841FD0" w:rsidP="00D979D5">
            <w:pPr>
              <w:tabs>
                <w:tab w:val="left" w:pos="8616"/>
              </w:tabs>
              <w:rPr>
                <w:rFonts w:ascii="Arial" w:hAnsi="Arial" w:cs="Arial"/>
                <w:bCs/>
              </w:rPr>
            </w:pPr>
            <w:r w:rsidRPr="00CA2D26">
              <w:rPr>
                <w:rFonts w:ascii="Arial" w:hAnsi="Arial" w:cs="Arial"/>
                <w:bCs/>
              </w:rPr>
              <w:t>Non-PrCa Controls</w:t>
            </w:r>
          </w:p>
        </w:tc>
        <w:tc>
          <w:tcPr>
            <w:tcW w:w="951" w:type="dxa"/>
            <w:noWrap/>
            <w:hideMark/>
          </w:tcPr>
          <w:p w14:paraId="2AB855A9" w14:textId="77777777" w:rsidR="00841FD0" w:rsidRPr="00CA2D26" w:rsidRDefault="00841FD0" w:rsidP="00D979D5">
            <w:pPr>
              <w:tabs>
                <w:tab w:val="left" w:pos="8616"/>
              </w:tabs>
              <w:rPr>
                <w:rFonts w:ascii="Arial" w:hAnsi="Arial" w:cs="Arial"/>
                <w:bCs/>
              </w:rPr>
            </w:pPr>
            <w:r w:rsidRPr="00CA2D26">
              <w:rPr>
                <w:rFonts w:ascii="Arial" w:hAnsi="Arial" w:cs="Arial"/>
                <w:bCs/>
              </w:rPr>
              <w:t>Total</w:t>
            </w:r>
          </w:p>
        </w:tc>
      </w:tr>
      <w:tr w:rsidR="00841FD0" w:rsidRPr="00CA2D26" w14:paraId="1694A2A0" w14:textId="77777777" w:rsidTr="00D979D5">
        <w:trPr>
          <w:trHeight w:val="300"/>
        </w:trPr>
        <w:tc>
          <w:tcPr>
            <w:tcW w:w="2404" w:type="dxa"/>
            <w:noWrap/>
            <w:hideMark/>
          </w:tcPr>
          <w:p w14:paraId="2B07948C" w14:textId="77777777" w:rsidR="00841FD0" w:rsidRPr="00CA2D26" w:rsidRDefault="00841FD0" w:rsidP="00D979D5">
            <w:pPr>
              <w:tabs>
                <w:tab w:val="left" w:pos="8616"/>
              </w:tabs>
              <w:rPr>
                <w:rFonts w:ascii="Arial" w:hAnsi="Arial" w:cs="Arial"/>
                <w:bCs/>
              </w:rPr>
            </w:pPr>
            <w:r w:rsidRPr="00CA2D26">
              <w:rPr>
                <w:rFonts w:ascii="Arial" w:hAnsi="Arial" w:cs="Arial"/>
                <w:bCs/>
              </w:rPr>
              <w:t>OncoArray European</w:t>
            </w:r>
          </w:p>
        </w:tc>
        <w:tc>
          <w:tcPr>
            <w:tcW w:w="278" w:type="dxa"/>
            <w:noWrap/>
            <w:hideMark/>
          </w:tcPr>
          <w:p w14:paraId="5CDA75EE" w14:textId="77777777" w:rsidR="00841FD0" w:rsidRPr="00CA2D26" w:rsidRDefault="00841FD0" w:rsidP="00D979D5">
            <w:pPr>
              <w:tabs>
                <w:tab w:val="left" w:pos="8616"/>
              </w:tabs>
              <w:rPr>
                <w:rFonts w:ascii="Arial" w:hAnsi="Arial" w:cs="Arial"/>
                <w:bCs/>
              </w:rPr>
            </w:pPr>
          </w:p>
        </w:tc>
        <w:tc>
          <w:tcPr>
            <w:tcW w:w="1525" w:type="dxa"/>
            <w:noWrap/>
            <w:hideMark/>
          </w:tcPr>
          <w:p w14:paraId="43EB18B5" w14:textId="77777777" w:rsidR="00841FD0" w:rsidRPr="00CA2D26" w:rsidRDefault="00841FD0" w:rsidP="00D979D5">
            <w:pPr>
              <w:tabs>
                <w:tab w:val="left" w:pos="8616"/>
              </w:tabs>
              <w:jc w:val="right"/>
              <w:rPr>
                <w:rFonts w:ascii="Arial" w:hAnsi="Arial" w:cs="Arial"/>
                <w:bCs/>
              </w:rPr>
            </w:pPr>
            <w:r w:rsidRPr="00CA2D26">
              <w:rPr>
                <w:rFonts w:ascii="Arial" w:hAnsi="Arial" w:cs="Arial"/>
                <w:bCs/>
              </w:rPr>
              <w:t>44825</w:t>
            </w:r>
          </w:p>
        </w:tc>
        <w:tc>
          <w:tcPr>
            <w:tcW w:w="2197" w:type="dxa"/>
            <w:noWrap/>
            <w:hideMark/>
          </w:tcPr>
          <w:p w14:paraId="2D1FAB27" w14:textId="77777777" w:rsidR="00841FD0" w:rsidRPr="00CA2D26" w:rsidRDefault="00841FD0" w:rsidP="00D979D5">
            <w:pPr>
              <w:tabs>
                <w:tab w:val="left" w:pos="8616"/>
              </w:tabs>
              <w:jc w:val="right"/>
              <w:rPr>
                <w:rFonts w:ascii="Arial" w:hAnsi="Arial" w:cs="Arial"/>
                <w:bCs/>
              </w:rPr>
            </w:pPr>
            <w:r w:rsidRPr="00CA2D26">
              <w:rPr>
                <w:rFonts w:ascii="Arial" w:hAnsi="Arial" w:cs="Arial"/>
                <w:bCs/>
              </w:rPr>
              <w:t>27904</w:t>
            </w:r>
          </w:p>
        </w:tc>
        <w:tc>
          <w:tcPr>
            <w:tcW w:w="951" w:type="dxa"/>
            <w:noWrap/>
            <w:hideMark/>
          </w:tcPr>
          <w:p w14:paraId="32F5B104" w14:textId="77777777" w:rsidR="00841FD0" w:rsidRPr="00CA2D26" w:rsidRDefault="00841FD0" w:rsidP="00D979D5">
            <w:pPr>
              <w:tabs>
                <w:tab w:val="left" w:pos="8616"/>
              </w:tabs>
              <w:jc w:val="right"/>
              <w:rPr>
                <w:rFonts w:ascii="Arial" w:hAnsi="Arial" w:cs="Arial"/>
                <w:bCs/>
              </w:rPr>
            </w:pPr>
            <w:r w:rsidRPr="00CA2D26">
              <w:rPr>
                <w:rFonts w:ascii="Arial" w:hAnsi="Arial" w:cs="Arial"/>
                <w:bCs/>
              </w:rPr>
              <w:t>72729</w:t>
            </w:r>
          </w:p>
        </w:tc>
      </w:tr>
      <w:tr w:rsidR="00841FD0" w:rsidRPr="00CA2D26" w14:paraId="03748269" w14:textId="77777777" w:rsidTr="00D979D5">
        <w:trPr>
          <w:trHeight w:val="285"/>
        </w:trPr>
        <w:tc>
          <w:tcPr>
            <w:tcW w:w="2404" w:type="dxa"/>
            <w:noWrap/>
            <w:hideMark/>
          </w:tcPr>
          <w:p w14:paraId="5F2F8221" w14:textId="77777777" w:rsidR="00841FD0" w:rsidRPr="00CA2D26" w:rsidRDefault="00841FD0" w:rsidP="00D979D5">
            <w:pPr>
              <w:tabs>
                <w:tab w:val="left" w:pos="8616"/>
              </w:tabs>
              <w:rPr>
                <w:rFonts w:ascii="Arial" w:hAnsi="Arial" w:cs="Arial"/>
                <w:bCs/>
              </w:rPr>
            </w:pPr>
            <w:r w:rsidRPr="00CA2D26">
              <w:rPr>
                <w:rFonts w:ascii="Arial" w:hAnsi="Arial" w:cs="Arial"/>
                <w:bCs/>
              </w:rPr>
              <w:t>iCOGS</w:t>
            </w:r>
          </w:p>
        </w:tc>
        <w:tc>
          <w:tcPr>
            <w:tcW w:w="278" w:type="dxa"/>
            <w:noWrap/>
            <w:hideMark/>
          </w:tcPr>
          <w:p w14:paraId="3CA01A0F" w14:textId="77777777" w:rsidR="00841FD0" w:rsidRPr="00CA2D26" w:rsidRDefault="00841FD0" w:rsidP="00D979D5">
            <w:pPr>
              <w:tabs>
                <w:tab w:val="left" w:pos="8616"/>
              </w:tabs>
              <w:rPr>
                <w:rFonts w:ascii="Arial" w:hAnsi="Arial" w:cs="Arial"/>
                <w:bCs/>
              </w:rPr>
            </w:pPr>
          </w:p>
        </w:tc>
        <w:tc>
          <w:tcPr>
            <w:tcW w:w="1525" w:type="dxa"/>
            <w:noWrap/>
            <w:hideMark/>
          </w:tcPr>
          <w:p w14:paraId="651484C4" w14:textId="77777777" w:rsidR="00841FD0" w:rsidRPr="00CA2D26" w:rsidRDefault="00841FD0" w:rsidP="00D979D5">
            <w:pPr>
              <w:tabs>
                <w:tab w:val="left" w:pos="8616"/>
              </w:tabs>
              <w:jc w:val="right"/>
              <w:rPr>
                <w:rFonts w:ascii="Arial" w:hAnsi="Arial" w:cs="Arial"/>
                <w:bCs/>
              </w:rPr>
            </w:pPr>
            <w:r w:rsidRPr="00CA2D26">
              <w:rPr>
                <w:rFonts w:ascii="Arial" w:hAnsi="Arial" w:cs="Arial"/>
                <w:bCs/>
              </w:rPr>
              <w:t>20219</w:t>
            </w:r>
          </w:p>
        </w:tc>
        <w:tc>
          <w:tcPr>
            <w:tcW w:w="2197" w:type="dxa"/>
            <w:noWrap/>
            <w:hideMark/>
          </w:tcPr>
          <w:p w14:paraId="5F3652CE" w14:textId="77777777" w:rsidR="00841FD0" w:rsidRPr="00CA2D26" w:rsidRDefault="00841FD0" w:rsidP="00D979D5">
            <w:pPr>
              <w:tabs>
                <w:tab w:val="left" w:pos="8616"/>
              </w:tabs>
              <w:jc w:val="right"/>
              <w:rPr>
                <w:rFonts w:ascii="Arial" w:hAnsi="Arial" w:cs="Arial"/>
                <w:bCs/>
              </w:rPr>
            </w:pPr>
            <w:r w:rsidRPr="00CA2D26">
              <w:rPr>
                <w:rFonts w:ascii="Arial" w:hAnsi="Arial" w:cs="Arial"/>
                <w:bCs/>
              </w:rPr>
              <w:t>20440</w:t>
            </w:r>
          </w:p>
        </w:tc>
        <w:tc>
          <w:tcPr>
            <w:tcW w:w="951" w:type="dxa"/>
            <w:noWrap/>
            <w:hideMark/>
          </w:tcPr>
          <w:p w14:paraId="42138F7D" w14:textId="77777777" w:rsidR="00841FD0" w:rsidRPr="00CA2D26" w:rsidRDefault="00841FD0" w:rsidP="00D979D5">
            <w:pPr>
              <w:tabs>
                <w:tab w:val="left" w:pos="8616"/>
              </w:tabs>
              <w:jc w:val="right"/>
              <w:rPr>
                <w:rFonts w:ascii="Arial" w:hAnsi="Arial" w:cs="Arial"/>
                <w:bCs/>
              </w:rPr>
            </w:pPr>
            <w:r w:rsidRPr="00CA2D26">
              <w:rPr>
                <w:rFonts w:ascii="Arial" w:hAnsi="Arial" w:cs="Arial"/>
                <w:bCs/>
              </w:rPr>
              <w:t>40659</w:t>
            </w:r>
          </w:p>
        </w:tc>
      </w:tr>
      <w:tr w:rsidR="00841FD0" w:rsidRPr="00CA2D26" w14:paraId="79D5CA72" w14:textId="77777777" w:rsidTr="00D979D5">
        <w:trPr>
          <w:trHeight w:val="285"/>
        </w:trPr>
        <w:tc>
          <w:tcPr>
            <w:tcW w:w="2404" w:type="dxa"/>
            <w:noWrap/>
            <w:hideMark/>
          </w:tcPr>
          <w:p w14:paraId="27BB9B03" w14:textId="77777777" w:rsidR="00841FD0" w:rsidRPr="00CA2D26" w:rsidRDefault="00841FD0" w:rsidP="00D979D5">
            <w:pPr>
              <w:tabs>
                <w:tab w:val="left" w:pos="8616"/>
              </w:tabs>
              <w:rPr>
                <w:rFonts w:ascii="Arial" w:hAnsi="Arial" w:cs="Arial"/>
                <w:bCs/>
              </w:rPr>
            </w:pPr>
            <w:r w:rsidRPr="00CA2D26">
              <w:rPr>
                <w:rFonts w:ascii="Arial" w:hAnsi="Arial" w:cs="Arial"/>
                <w:bCs/>
              </w:rPr>
              <w:t>UK1</w:t>
            </w:r>
          </w:p>
        </w:tc>
        <w:tc>
          <w:tcPr>
            <w:tcW w:w="278" w:type="dxa"/>
            <w:noWrap/>
            <w:hideMark/>
          </w:tcPr>
          <w:p w14:paraId="633683A6" w14:textId="77777777" w:rsidR="00841FD0" w:rsidRPr="00CA2D26" w:rsidRDefault="00841FD0" w:rsidP="00D979D5">
            <w:pPr>
              <w:tabs>
                <w:tab w:val="left" w:pos="8616"/>
              </w:tabs>
              <w:rPr>
                <w:rFonts w:ascii="Arial" w:hAnsi="Arial" w:cs="Arial"/>
                <w:bCs/>
              </w:rPr>
            </w:pPr>
          </w:p>
        </w:tc>
        <w:tc>
          <w:tcPr>
            <w:tcW w:w="1525" w:type="dxa"/>
            <w:noWrap/>
            <w:hideMark/>
          </w:tcPr>
          <w:p w14:paraId="3D657509" w14:textId="77777777" w:rsidR="00841FD0" w:rsidRPr="00CA2D26" w:rsidRDefault="00841FD0" w:rsidP="00D979D5">
            <w:pPr>
              <w:tabs>
                <w:tab w:val="left" w:pos="8616"/>
              </w:tabs>
              <w:jc w:val="right"/>
              <w:rPr>
                <w:rFonts w:ascii="Arial" w:hAnsi="Arial" w:cs="Arial"/>
                <w:bCs/>
              </w:rPr>
            </w:pPr>
            <w:r w:rsidRPr="00CA2D26">
              <w:rPr>
                <w:rFonts w:ascii="Arial" w:hAnsi="Arial" w:cs="Arial"/>
                <w:bCs/>
              </w:rPr>
              <w:t>1854</w:t>
            </w:r>
          </w:p>
        </w:tc>
        <w:tc>
          <w:tcPr>
            <w:tcW w:w="2197" w:type="dxa"/>
            <w:noWrap/>
            <w:hideMark/>
          </w:tcPr>
          <w:p w14:paraId="7847AC2A" w14:textId="77777777" w:rsidR="00841FD0" w:rsidRPr="00CA2D26" w:rsidRDefault="00841FD0" w:rsidP="00D979D5">
            <w:pPr>
              <w:tabs>
                <w:tab w:val="left" w:pos="8616"/>
              </w:tabs>
              <w:jc w:val="right"/>
              <w:rPr>
                <w:rFonts w:ascii="Arial" w:hAnsi="Arial" w:cs="Arial"/>
                <w:bCs/>
              </w:rPr>
            </w:pPr>
            <w:r w:rsidRPr="00CA2D26">
              <w:rPr>
                <w:rFonts w:ascii="Arial" w:hAnsi="Arial" w:cs="Arial"/>
                <w:bCs/>
              </w:rPr>
              <w:t>1894</w:t>
            </w:r>
          </w:p>
        </w:tc>
        <w:tc>
          <w:tcPr>
            <w:tcW w:w="951" w:type="dxa"/>
            <w:noWrap/>
            <w:hideMark/>
          </w:tcPr>
          <w:p w14:paraId="70A4B58D" w14:textId="77777777" w:rsidR="00841FD0" w:rsidRPr="00CA2D26" w:rsidRDefault="00841FD0" w:rsidP="00D979D5">
            <w:pPr>
              <w:tabs>
                <w:tab w:val="left" w:pos="8616"/>
              </w:tabs>
              <w:jc w:val="right"/>
              <w:rPr>
                <w:rFonts w:ascii="Arial" w:hAnsi="Arial" w:cs="Arial"/>
                <w:bCs/>
              </w:rPr>
            </w:pPr>
            <w:r w:rsidRPr="00CA2D26">
              <w:rPr>
                <w:rFonts w:ascii="Arial" w:hAnsi="Arial" w:cs="Arial"/>
                <w:bCs/>
              </w:rPr>
              <w:t>3748</w:t>
            </w:r>
          </w:p>
        </w:tc>
      </w:tr>
      <w:tr w:rsidR="00841FD0" w:rsidRPr="00CA2D26" w14:paraId="4D669DBD" w14:textId="77777777" w:rsidTr="00D979D5">
        <w:trPr>
          <w:trHeight w:val="285"/>
        </w:trPr>
        <w:tc>
          <w:tcPr>
            <w:tcW w:w="2404" w:type="dxa"/>
            <w:noWrap/>
            <w:hideMark/>
          </w:tcPr>
          <w:p w14:paraId="19C46ABB" w14:textId="77777777" w:rsidR="00841FD0" w:rsidRPr="00CA2D26" w:rsidRDefault="00841FD0" w:rsidP="00D979D5">
            <w:pPr>
              <w:tabs>
                <w:tab w:val="left" w:pos="8616"/>
              </w:tabs>
              <w:rPr>
                <w:rFonts w:ascii="Arial" w:hAnsi="Arial" w:cs="Arial"/>
                <w:bCs/>
              </w:rPr>
            </w:pPr>
            <w:r w:rsidRPr="00CA2D26">
              <w:rPr>
                <w:rFonts w:ascii="Arial" w:hAnsi="Arial" w:cs="Arial"/>
                <w:bCs/>
              </w:rPr>
              <w:t>UK2</w:t>
            </w:r>
          </w:p>
        </w:tc>
        <w:tc>
          <w:tcPr>
            <w:tcW w:w="278" w:type="dxa"/>
            <w:noWrap/>
            <w:hideMark/>
          </w:tcPr>
          <w:p w14:paraId="1F3F5064" w14:textId="77777777" w:rsidR="00841FD0" w:rsidRPr="00CA2D26" w:rsidRDefault="00841FD0" w:rsidP="00D979D5">
            <w:pPr>
              <w:tabs>
                <w:tab w:val="left" w:pos="8616"/>
              </w:tabs>
              <w:rPr>
                <w:rFonts w:ascii="Arial" w:hAnsi="Arial" w:cs="Arial"/>
                <w:bCs/>
              </w:rPr>
            </w:pPr>
          </w:p>
        </w:tc>
        <w:tc>
          <w:tcPr>
            <w:tcW w:w="1525" w:type="dxa"/>
            <w:noWrap/>
            <w:hideMark/>
          </w:tcPr>
          <w:p w14:paraId="5AFBD89B" w14:textId="77777777" w:rsidR="00841FD0" w:rsidRPr="00CA2D26" w:rsidRDefault="00841FD0" w:rsidP="00D979D5">
            <w:pPr>
              <w:tabs>
                <w:tab w:val="left" w:pos="8616"/>
              </w:tabs>
              <w:jc w:val="right"/>
              <w:rPr>
                <w:rFonts w:ascii="Arial" w:hAnsi="Arial" w:cs="Arial"/>
                <w:bCs/>
              </w:rPr>
            </w:pPr>
            <w:r w:rsidRPr="00CA2D26">
              <w:rPr>
                <w:rFonts w:ascii="Arial" w:hAnsi="Arial" w:cs="Arial"/>
                <w:bCs/>
              </w:rPr>
              <w:t>3650</w:t>
            </w:r>
          </w:p>
        </w:tc>
        <w:tc>
          <w:tcPr>
            <w:tcW w:w="2197" w:type="dxa"/>
            <w:noWrap/>
            <w:hideMark/>
          </w:tcPr>
          <w:p w14:paraId="0AB188B4" w14:textId="77777777" w:rsidR="00841FD0" w:rsidRPr="00CA2D26" w:rsidRDefault="00841FD0" w:rsidP="00D979D5">
            <w:pPr>
              <w:tabs>
                <w:tab w:val="left" w:pos="8616"/>
              </w:tabs>
              <w:jc w:val="right"/>
              <w:rPr>
                <w:rFonts w:ascii="Arial" w:hAnsi="Arial" w:cs="Arial"/>
                <w:bCs/>
              </w:rPr>
            </w:pPr>
            <w:r w:rsidRPr="00CA2D26">
              <w:rPr>
                <w:rFonts w:ascii="Arial" w:hAnsi="Arial" w:cs="Arial"/>
                <w:bCs/>
              </w:rPr>
              <w:t>3940</w:t>
            </w:r>
          </w:p>
        </w:tc>
        <w:tc>
          <w:tcPr>
            <w:tcW w:w="951" w:type="dxa"/>
            <w:noWrap/>
            <w:hideMark/>
          </w:tcPr>
          <w:p w14:paraId="57D6256D" w14:textId="77777777" w:rsidR="00841FD0" w:rsidRPr="00CA2D26" w:rsidRDefault="00841FD0" w:rsidP="00D979D5">
            <w:pPr>
              <w:tabs>
                <w:tab w:val="left" w:pos="8616"/>
              </w:tabs>
              <w:jc w:val="right"/>
              <w:rPr>
                <w:rFonts w:ascii="Arial" w:hAnsi="Arial" w:cs="Arial"/>
                <w:bCs/>
              </w:rPr>
            </w:pPr>
            <w:r w:rsidRPr="00CA2D26">
              <w:rPr>
                <w:rFonts w:ascii="Arial" w:hAnsi="Arial" w:cs="Arial"/>
                <w:bCs/>
              </w:rPr>
              <w:t>7590</w:t>
            </w:r>
          </w:p>
        </w:tc>
      </w:tr>
      <w:tr w:rsidR="00841FD0" w:rsidRPr="00CA2D26" w14:paraId="6BC4FDE6" w14:textId="77777777" w:rsidTr="00D979D5">
        <w:trPr>
          <w:trHeight w:val="285"/>
        </w:trPr>
        <w:tc>
          <w:tcPr>
            <w:tcW w:w="2404" w:type="dxa"/>
            <w:noWrap/>
            <w:hideMark/>
          </w:tcPr>
          <w:p w14:paraId="74BE3F03" w14:textId="77777777" w:rsidR="00841FD0" w:rsidRPr="00CA2D26" w:rsidRDefault="00841FD0" w:rsidP="00D979D5">
            <w:pPr>
              <w:tabs>
                <w:tab w:val="left" w:pos="8616"/>
              </w:tabs>
              <w:rPr>
                <w:rFonts w:ascii="Arial" w:hAnsi="Arial" w:cs="Arial"/>
                <w:bCs/>
              </w:rPr>
            </w:pPr>
            <w:r w:rsidRPr="00CA2D26">
              <w:rPr>
                <w:rFonts w:ascii="Arial" w:hAnsi="Arial" w:cs="Arial"/>
                <w:bCs/>
              </w:rPr>
              <w:t>CAPS1</w:t>
            </w:r>
          </w:p>
        </w:tc>
        <w:tc>
          <w:tcPr>
            <w:tcW w:w="278" w:type="dxa"/>
            <w:noWrap/>
            <w:hideMark/>
          </w:tcPr>
          <w:p w14:paraId="418450BF" w14:textId="77777777" w:rsidR="00841FD0" w:rsidRPr="00CA2D26" w:rsidRDefault="00841FD0" w:rsidP="00D979D5">
            <w:pPr>
              <w:tabs>
                <w:tab w:val="left" w:pos="8616"/>
              </w:tabs>
              <w:rPr>
                <w:rFonts w:ascii="Arial" w:hAnsi="Arial" w:cs="Arial"/>
                <w:bCs/>
              </w:rPr>
            </w:pPr>
          </w:p>
        </w:tc>
        <w:tc>
          <w:tcPr>
            <w:tcW w:w="1525" w:type="dxa"/>
            <w:noWrap/>
            <w:hideMark/>
          </w:tcPr>
          <w:p w14:paraId="0C1A9691" w14:textId="77777777" w:rsidR="00841FD0" w:rsidRPr="00CA2D26" w:rsidRDefault="00841FD0" w:rsidP="00D979D5">
            <w:pPr>
              <w:tabs>
                <w:tab w:val="left" w:pos="8616"/>
              </w:tabs>
              <w:jc w:val="right"/>
              <w:rPr>
                <w:rFonts w:ascii="Arial" w:hAnsi="Arial" w:cs="Arial"/>
                <w:bCs/>
              </w:rPr>
            </w:pPr>
            <w:r w:rsidRPr="00CA2D26">
              <w:rPr>
                <w:rFonts w:ascii="Arial" w:hAnsi="Arial" w:cs="Arial"/>
                <w:bCs/>
              </w:rPr>
              <w:t>474</w:t>
            </w:r>
          </w:p>
        </w:tc>
        <w:tc>
          <w:tcPr>
            <w:tcW w:w="2197" w:type="dxa"/>
            <w:noWrap/>
            <w:hideMark/>
          </w:tcPr>
          <w:p w14:paraId="730EF0B8" w14:textId="77777777" w:rsidR="00841FD0" w:rsidRPr="00CA2D26" w:rsidRDefault="00841FD0" w:rsidP="00D979D5">
            <w:pPr>
              <w:tabs>
                <w:tab w:val="left" w:pos="8616"/>
              </w:tabs>
              <w:jc w:val="right"/>
              <w:rPr>
                <w:rFonts w:ascii="Arial" w:hAnsi="Arial" w:cs="Arial"/>
                <w:bCs/>
              </w:rPr>
            </w:pPr>
            <w:r w:rsidRPr="00CA2D26">
              <w:rPr>
                <w:rFonts w:ascii="Arial" w:hAnsi="Arial" w:cs="Arial"/>
                <w:bCs/>
              </w:rPr>
              <w:t>482</w:t>
            </w:r>
          </w:p>
        </w:tc>
        <w:tc>
          <w:tcPr>
            <w:tcW w:w="951" w:type="dxa"/>
            <w:noWrap/>
            <w:hideMark/>
          </w:tcPr>
          <w:p w14:paraId="1F35BDF4" w14:textId="77777777" w:rsidR="00841FD0" w:rsidRPr="00CA2D26" w:rsidRDefault="00841FD0" w:rsidP="00D979D5">
            <w:pPr>
              <w:tabs>
                <w:tab w:val="left" w:pos="8616"/>
              </w:tabs>
              <w:jc w:val="right"/>
              <w:rPr>
                <w:rFonts w:ascii="Arial" w:hAnsi="Arial" w:cs="Arial"/>
                <w:bCs/>
              </w:rPr>
            </w:pPr>
            <w:r w:rsidRPr="00CA2D26">
              <w:rPr>
                <w:rFonts w:ascii="Arial" w:hAnsi="Arial" w:cs="Arial"/>
                <w:bCs/>
              </w:rPr>
              <w:t>956</w:t>
            </w:r>
          </w:p>
        </w:tc>
      </w:tr>
      <w:tr w:rsidR="00841FD0" w:rsidRPr="00CA2D26" w14:paraId="0E02B1B8" w14:textId="77777777" w:rsidTr="00D979D5">
        <w:trPr>
          <w:trHeight w:val="285"/>
        </w:trPr>
        <w:tc>
          <w:tcPr>
            <w:tcW w:w="2404" w:type="dxa"/>
            <w:noWrap/>
            <w:hideMark/>
          </w:tcPr>
          <w:p w14:paraId="7F4D4C99" w14:textId="77777777" w:rsidR="00841FD0" w:rsidRPr="00CA2D26" w:rsidRDefault="00841FD0" w:rsidP="00D979D5">
            <w:pPr>
              <w:tabs>
                <w:tab w:val="left" w:pos="8616"/>
              </w:tabs>
              <w:rPr>
                <w:rFonts w:ascii="Arial" w:hAnsi="Arial" w:cs="Arial"/>
                <w:bCs/>
              </w:rPr>
            </w:pPr>
            <w:r w:rsidRPr="00CA2D26">
              <w:rPr>
                <w:rFonts w:ascii="Arial" w:hAnsi="Arial" w:cs="Arial"/>
                <w:bCs/>
              </w:rPr>
              <w:t>CAPS2</w:t>
            </w:r>
          </w:p>
        </w:tc>
        <w:tc>
          <w:tcPr>
            <w:tcW w:w="278" w:type="dxa"/>
            <w:noWrap/>
            <w:hideMark/>
          </w:tcPr>
          <w:p w14:paraId="53808716" w14:textId="77777777" w:rsidR="00841FD0" w:rsidRPr="00CA2D26" w:rsidRDefault="00841FD0" w:rsidP="00D979D5">
            <w:pPr>
              <w:tabs>
                <w:tab w:val="left" w:pos="8616"/>
              </w:tabs>
              <w:rPr>
                <w:rFonts w:ascii="Arial" w:hAnsi="Arial" w:cs="Arial"/>
                <w:bCs/>
              </w:rPr>
            </w:pPr>
          </w:p>
        </w:tc>
        <w:tc>
          <w:tcPr>
            <w:tcW w:w="1525" w:type="dxa"/>
            <w:noWrap/>
            <w:hideMark/>
          </w:tcPr>
          <w:p w14:paraId="04CB3A6D" w14:textId="77777777" w:rsidR="00841FD0" w:rsidRPr="00CA2D26" w:rsidRDefault="00841FD0" w:rsidP="00D979D5">
            <w:pPr>
              <w:tabs>
                <w:tab w:val="left" w:pos="8616"/>
              </w:tabs>
              <w:jc w:val="right"/>
              <w:rPr>
                <w:rFonts w:ascii="Arial" w:hAnsi="Arial" w:cs="Arial"/>
                <w:bCs/>
              </w:rPr>
            </w:pPr>
            <w:r w:rsidRPr="00CA2D26">
              <w:rPr>
                <w:rFonts w:ascii="Arial" w:hAnsi="Arial" w:cs="Arial"/>
                <w:bCs/>
              </w:rPr>
              <w:t>1458</w:t>
            </w:r>
          </w:p>
        </w:tc>
        <w:tc>
          <w:tcPr>
            <w:tcW w:w="2197" w:type="dxa"/>
            <w:noWrap/>
            <w:hideMark/>
          </w:tcPr>
          <w:p w14:paraId="038D1C80" w14:textId="77777777" w:rsidR="00841FD0" w:rsidRPr="00CA2D26" w:rsidRDefault="00841FD0" w:rsidP="00D979D5">
            <w:pPr>
              <w:tabs>
                <w:tab w:val="left" w:pos="8616"/>
              </w:tabs>
              <w:jc w:val="right"/>
              <w:rPr>
                <w:rFonts w:ascii="Arial" w:hAnsi="Arial" w:cs="Arial"/>
                <w:bCs/>
              </w:rPr>
            </w:pPr>
            <w:r w:rsidRPr="00CA2D26">
              <w:rPr>
                <w:rFonts w:ascii="Arial" w:hAnsi="Arial" w:cs="Arial"/>
                <w:bCs/>
              </w:rPr>
              <w:t>512</w:t>
            </w:r>
          </w:p>
        </w:tc>
        <w:tc>
          <w:tcPr>
            <w:tcW w:w="951" w:type="dxa"/>
            <w:noWrap/>
            <w:hideMark/>
          </w:tcPr>
          <w:p w14:paraId="578B171E" w14:textId="77777777" w:rsidR="00841FD0" w:rsidRPr="00CA2D26" w:rsidRDefault="00841FD0" w:rsidP="00D979D5">
            <w:pPr>
              <w:tabs>
                <w:tab w:val="left" w:pos="8616"/>
              </w:tabs>
              <w:jc w:val="right"/>
              <w:rPr>
                <w:rFonts w:ascii="Arial" w:hAnsi="Arial" w:cs="Arial"/>
                <w:bCs/>
              </w:rPr>
            </w:pPr>
            <w:r w:rsidRPr="00CA2D26">
              <w:rPr>
                <w:rFonts w:ascii="Arial" w:hAnsi="Arial" w:cs="Arial"/>
                <w:bCs/>
              </w:rPr>
              <w:t>1970</w:t>
            </w:r>
          </w:p>
        </w:tc>
      </w:tr>
      <w:tr w:rsidR="00841FD0" w:rsidRPr="00CA2D26" w14:paraId="2C674B6D" w14:textId="77777777" w:rsidTr="00D979D5">
        <w:trPr>
          <w:trHeight w:val="285"/>
        </w:trPr>
        <w:tc>
          <w:tcPr>
            <w:tcW w:w="2404" w:type="dxa"/>
            <w:noWrap/>
            <w:hideMark/>
          </w:tcPr>
          <w:p w14:paraId="18688ED4" w14:textId="77777777" w:rsidR="00841FD0" w:rsidRPr="00CA2D26" w:rsidRDefault="00841FD0" w:rsidP="00D979D5">
            <w:pPr>
              <w:tabs>
                <w:tab w:val="left" w:pos="8616"/>
              </w:tabs>
              <w:rPr>
                <w:rFonts w:ascii="Arial" w:hAnsi="Arial" w:cs="Arial"/>
                <w:bCs/>
              </w:rPr>
            </w:pPr>
            <w:r w:rsidRPr="00CA2D26">
              <w:rPr>
                <w:rFonts w:ascii="Arial" w:hAnsi="Arial" w:cs="Arial"/>
                <w:bCs/>
              </w:rPr>
              <w:t>BPC3</w:t>
            </w:r>
          </w:p>
        </w:tc>
        <w:tc>
          <w:tcPr>
            <w:tcW w:w="278" w:type="dxa"/>
            <w:noWrap/>
            <w:hideMark/>
          </w:tcPr>
          <w:p w14:paraId="7E3C0A38" w14:textId="77777777" w:rsidR="00841FD0" w:rsidRPr="00CA2D26" w:rsidRDefault="00841FD0" w:rsidP="00D979D5">
            <w:pPr>
              <w:tabs>
                <w:tab w:val="left" w:pos="8616"/>
              </w:tabs>
              <w:rPr>
                <w:rFonts w:ascii="Arial" w:hAnsi="Arial" w:cs="Arial"/>
                <w:bCs/>
              </w:rPr>
            </w:pPr>
          </w:p>
        </w:tc>
        <w:tc>
          <w:tcPr>
            <w:tcW w:w="1525" w:type="dxa"/>
            <w:noWrap/>
            <w:hideMark/>
          </w:tcPr>
          <w:p w14:paraId="6060F0D1" w14:textId="77777777" w:rsidR="00841FD0" w:rsidRPr="00CA2D26" w:rsidRDefault="00841FD0" w:rsidP="00D979D5">
            <w:pPr>
              <w:tabs>
                <w:tab w:val="left" w:pos="8616"/>
              </w:tabs>
              <w:jc w:val="right"/>
              <w:rPr>
                <w:rFonts w:ascii="Arial" w:hAnsi="Arial" w:cs="Arial"/>
                <w:bCs/>
              </w:rPr>
            </w:pPr>
            <w:r w:rsidRPr="00CA2D26">
              <w:rPr>
                <w:rFonts w:ascii="Arial" w:hAnsi="Arial" w:cs="Arial"/>
                <w:bCs/>
              </w:rPr>
              <w:t>2068</w:t>
            </w:r>
          </w:p>
        </w:tc>
        <w:tc>
          <w:tcPr>
            <w:tcW w:w="2197" w:type="dxa"/>
            <w:noWrap/>
            <w:hideMark/>
          </w:tcPr>
          <w:p w14:paraId="0203601D" w14:textId="150C08B4" w:rsidR="00841FD0" w:rsidRPr="00CA2D26" w:rsidRDefault="00D506F5" w:rsidP="00D979D5">
            <w:pPr>
              <w:tabs>
                <w:tab w:val="left" w:pos="8616"/>
              </w:tabs>
              <w:jc w:val="right"/>
              <w:rPr>
                <w:rFonts w:ascii="Arial" w:hAnsi="Arial" w:cs="Arial"/>
                <w:bCs/>
              </w:rPr>
            </w:pPr>
            <w:r>
              <w:rPr>
                <w:rFonts w:ascii="Arial" w:hAnsi="Arial" w:cs="Arial"/>
                <w:bCs/>
              </w:rPr>
              <w:t>2993</w:t>
            </w:r>
          </w:p>
        </w:tc>
        <w:tc>
          <w:tcPr>
            <w:tcW w:w="951" w:type="dxa"/>
            <w:noWrap/>
            <w:hideMark/>
          </w:tcPr>
          <w:p w14:paraId="568AF85F" w14:textId="655D2AED" w:rsidR="00841FD0" w:rsidRPr="00CA2D26" w:rsidRDefault="00D506F5" w:rsidP="00D979D5">
            <w:pPr>
              <w:tabs>
                <w:tab w:val="left" w:pos="8616"/>
              </w:tabs>
              <w:jc w:val="right"/>
              <w:rPr>
                <w:rFonts w:ascii="Arial" w:hAnsi="Arial" w:cs="Arial"/>
                <w:bCs/>
              </w:rPr>
            </w:pPr>
            <w:r>
              <w:rPr>
                <w:rFonts w:ascii="Arial" w:hAnsi="Arial" w:cs="Arial"/>
                <w:bCs/>
              </w:rPr>
              <w:t>5061</w:t>
            </w:r>
          </w:p>
        </w:tc>
      </w:tr>
      <w:tr w:rsidR="00841FD0" w:rsidRPr="00CA2D26" w14:paraId="026CE6FD" w14:textId="77777777" w:rsidTr="00D979D5">
        <w:trPr>
          <w:trHeight w:val="285"/>
        </w:trPr>
        <w:tc>
          <w:tcPr>
            <w:tcW w:w="2404" w:type="dxa"/>
            <w:noWrap/>
            <w:hideMark/>
          </w:tcPr>
          <w:p w14:paraId="11C56932" w14:textId="77777777" w:rsidR="00841FD0" w:rsidRPr="00CA2D26" w:rsidRDefault="00841FD0" w:rsidP="00D979D5">
            <w:pPr>
              <w:tabs>
                <w:tab w:val="left" w:pos="8616"/>
              </w:tabs>
              <w:rPr>
                <w:rFonts w:ascii="Arial" w:hAnsi="Arial" w:cs="Arial"/>
                <w:bCs/>
              </w:rPr>
            </w:pPr>
            <w:r w:rsidRPr="00CA2D26">
              <w:rPr>
                <w:rFonts w:ascii="Arial" w:hAnsi="Arial" w:cs="Arial"/>
                <w:bCs/>
              </w:rPr>
              <w:t>Pegasus</w:t>
            </w:r>
          </w:p>
        </w:tc>
        <w:tc>
          <w:tcPr>
            <w:tcW w:w="278" w:type="dxa"/>
            <w:noWrap/>
            <w:hideMark/>
          </w:tcPr>
          <w:p w14:paraId="5D615969" w14:textId="77777777" w:rsidR="00841FD0" w:rsidRPr="00CA2D26" w:rsidRDefault="00841FD0" w:rsidP="00D979D5">
            <w:pPr>
              <w:tabs>
                <w:tab w:val="left" w:pos="8616"/>
              </w:tabs>
              <w:rPr>
                <w:rFonts w:ascii="Arial" w:hAnsi="Arial" w:cs="Arial"/>
                <w:bCs/>
              </w:rPr>
            </w:pPr>
          </w:p>
        </w:tc>
        <w:tc>
          <w:tcPr>
            <w:tcW w:w="1525" w:type="dxa"/>
            <w:noWrap/>
            <w:hideMark/>
          </w:tcPr>
          <w:p w14:paraId="7AAFFE76" w14:textId="77777777" w:rsidR="00841FD0" w:rsidRPr="00CA2D26" w:rsidRDefault="00841FD0" w:rsidP="00D979D5">
            <w:pPr>
              <w:tabs>
                <w:tab w:val="left" w:pos="8616"/>
              </w:tabs>
              <w:jc w:val="right"/>
              <w:rPr>
                <w:rFonts w:ascii="Arial" w:hAnsi="Arial" w:cs="Arial"/>
                <w:bCs/>
              </w:rPr>
            </w:pPr>
            <w:r w:rsidRPr="00CA2D26">
              <w:rPr>
                <w:rFonts w:ascii="Arial" w:hAnsi="Arial" w:cs="Arial"/>
                <w:bCs/>
              </w:rPr>
              <w:t>4600</w:t>
            </w:r>
          </w:p>
        </w:tc>
        <w:tc>
          <w:tcPr>
            <w:tcW w:w="2197" w:type="dxa"/>
            <w:noWrap/>
            <w:hideMark/>
          </w:tcPr>
          <w:p w14:paraId="4CC1F598" w14:textId="77777777" w:rsidR="00841FD0" w:rsidRPr="00CA2D26" w:rsidRDefault="00841FD0" w:rsidP="00D979D5">
            <w:pPr>
              <w:tabs>
                <w:tab w:val="left" w:pos="8616"/>
              </w:tabs>
              <w:jc w:val="right"/>
              <w:rPr>
                <w:rFonts w:ascii="Arial" w:hAnsi="Arial" w:cs="Arial"/>
                <w:bCs/>
              </w:rPr>
            </w:pPr>
            <w:r w:rsidRPr="00CA2D26">
              <w:rPr>
                <w:rFonts w:ascii="Arial" w:hAnsi="Arial" w:cs="Arial"/>
                <w:bCs/>
              </w:rPr>
              <w:t>2941</w:t>
            </w:r>
          </w:p>
        </w:tc>
        <w:tc>
          <w:tcPr>
            <w:tcW w:w="951" w:type="dxa"/>
            <w:noWrap/>
            <w:hideMark/>
          </w:tcPr>
          <w:p w14:paraId="47F7A475" w14:textId="77777777" w:rsidR="00841FD0" w:rsidRPr="00CA2D26" w:rsidRDefault="00841FD0" w:rsidP="00D979D5">
            <w:pPr>
              <w:tabs>
                <w:tab w:val="left" w:pos="8616"/>
              </w:tabs>
              <w:jc w:val="right"/>
              <w:rPr>
                <w:rFonts w:ascii="Arial" w:hAnsi="Arial" w:cs="Arial"/>
                <w:bCs/>
              </w:rPr>
            </w:pPr>
            <w:r w:rsidRPr="00CA2D26">
              <w:rPr>
                <w:rFonts w:ascii="Arial" w:hAnsi="Arial" w:cs="Arial"/>
                <w:bCs/>
              </w:rPr>
              <w:t>7541</w:t>
            </w:r>
          </w:p>
        </w:tc>
      </w:tr>
      <w:tr w:rsidR="00841FD0" w:rsidRPr="00CA2D26" w14:paraId="713CE56C" w14:textId="77777777" w:rsidTr="00D979D5">
        <w:trPr>
          <w:trHeight w:val="315"/>
        </w:trPr>
        <w:tc>
          <w:tcPr>
            <w:tcW w:w="2404" w:type="dxa"/>
            <w:noWrap/>
            <w:hideMark/>
          </w:tcPr>
          <w:p w14:paraId="26E61A27" w14:textId="77777777" w:rsidR="00841FD0" w:rsidRPr="00CA2D26" w:rsidRDefault="00841FD0" w:rsidP="00D979D5">
            <w:pPr>
              <w:tabs>
                <w:tab w:val="left" w:pos="8616"/>
              </w:tabs>
              <w:rPr>
                <w:rFonts w:ascii="Arial" w:hAnsi="Arial" w:cs="Arial"/>
                <w:b/>
                <w:bCs/>
              </w:rPr>
            </w:pPr>
            <w:r w:rsidRPr="00CA2D26">
              <w:rPr>
                <w:rFonts w:ascii="Arial" w:hAnsi="Arial" w:cs="Arial"/>
                <w:b/>
                <w:bCs/>
              </w:rPr>
              <w:t>Total</w:t>
            </w:r>
          </w:p>
        </w:tc>
        <w:tc>
          <w:tcPr>
            <w:tcW w:w="278" w:type="dxa"/>
            <w:noWrap/>
            <w:hideMark/>
          </w:tcPr>
          <w:p w14:paraId="64862462" w14:textId="77777777" w:rsidR="00841FD0" w:rsidRPr="00CA2D26" w:rsidRDefault="00841FD0" w:rsidP="00D979D5">
            <w:pPr>
              <w:tabs>
                <w:tab w:val="left" w:pos="8616"/>
              </w:tabs>
              <w:rPr>
                <w:rFonts w:ascii="Arial" w:hAnsi="Arial" w:cs="Arial"/>
                <w:b/>
                <w:bCs/>
              </w:rPr>
            </w:pPr>
            <w:r w:rsidRPr="00CA2D26">
              <w:rPr>
                <w:rFonts w:ascii="Arial" w:hAnsi="Arial" w:cs="Arial"/>
                <w:b/>
                <w:bCs/>
              </w:rPr>
              <w:t> </w:t>
            </w:r>
          </w:p>
        </w:tc>
        <w:tc>
          <w:tcPr>
            <w:tcW w:w="1525" w:type="dxa"/>
            <w:noWrap/>
            <w:vAlign w:val="bottom"/>
            <w:hideMark/>
          </w:tcPr>
          <w:p w14:paraId="092EA8C2" w14:textId="77777777" w:rsidR="00841FD0" w:rsidRPr="00846C36" w:rsidRDefault="00841FD0" w:rsidP="00D979D5">
            <w:pPr>
              <w:tabs>
                <w:tab w:val="left" w:pos="8616"/>
              </w:tabs>
              <w:jc w:val="right"/>
              <w:rPr>
                <w:rFonts w:ascii="Arial" w:hAnsi="Arial" w:cs="Arial"/>
                <w:b/>
                <w:bCs/>
              </w:rPr>
            </w:pPr>
            <w:r w:rsidRPr="00846C36">
              <w:rPr>
                <w:rFonts w:ascii="Arial" w:hAnsi="Arial" w:cs="Arial"/>
                <w:b/>
                <w:color w:val="000000"/>
              </w:rPr>
              <w:t>79148</w:t>
            </w:r>
          </w:p>
        </w:tc>
        <w:tc>
          <w:tcPr>
            <w:tcW w:w="2197" w:type="dxa"/>
            <w:noWrap/>
            <w:vAlign w:val="bottom"/>
            <w:hideMark/>
          </w:tcPr>
          <w:p w14:paraId="5E0CD631" w14:textId="1B101CE1" w:rsidR="00841FD0" w:rsidRPr="00846C36" w:rsidRDefault="00D506F5" w:rsidP="00D979D5">
            <w:pPr>
              <w:tabs>
                <w:tab w:val="left" w:pos="8616"/>
              </w:tabs>
              <w:jc w:val="right"/>
              <w:rPr>
                <w:rFonts w:ascii="Arial" w:hAnsi="Arial" w:cs="Arial"/>
                <w:b/>
                <w:bCs/>
              </w:rPr>
            </w:pPr>
            <w:r>
              <w:rPr>
                <w:rFonts w:ascii="Arial" w:hAnsi="Arial" w:cs="Arial"/>
                <w:b/>
                <w:color w:val="000000"/>
              </w:rPr>
              <w:t>61106</w:t>
            </w:r>
          </w:p>
        </w:tc>
        <w:tc>
          <w:tcPr>
            <w:tcW w:w="951" w:type="dxa"/>
            <w:noWrap/>
            <w:vAlign w:val="bottom"/>
            <w:hideMark/>
          </w:tcPr>
          <w:p w14:paraId="2D820D17" w14:textId="232036B2" w:rsidR="00841FD0" w:rsidRPr="00846C36" w:rsidRDefault="00D506F5" w:rsidP="00D979D5">
            <w:pPr>
              <w:tabs>
                <w:tab w:val="left" w:pos="8616"/>
              </w:tabs>
              <w:jc w:val="right"/>
              <w:rPr>
                <w:rFonts w:ascii="Arial" w:hAnsi="Arial" w:cs="Arial"/>
                <w:b/>
                <w:bCs/>
              </w:rPr>
            </w:pPr>
            <w:r>
              <w:rPr>
                <w:rFonts w:ascii="Arial" w:hAnsi="Arial" w:cs="Arial"/>
                <w:b/>
                <w:color w:val="000000"/>
              </w:rPr>
              <w:t>140254</w:t>
            </w:r>
          </w:p>
        </w:tc>
      </w:tr>
    </w:tbl>
    <w:p w14:paraId="064C4B9A" w14:textId="77777777" w:rsidR="00841FD0" w:rsidRPr="00CA2D26" w:rsidRDefault="00841FD0" w:rsidP="00B74C22">
      <w:pPr>
        <w:tabs>
          <w:tab w:val="left" w:pos="8616"/>
        </w:tabs>
        <w:spacing w:after="0" w:line="240" w:lineRule="auto"/>
        <w:rPr>
          <w:rFonts w:ascii="Arial" w:hAnsi="Arial" w:cs="Arial"/>
          <w:bCs/>
        </w:rPr>
      </w:pPr>
    </w:p>
    <w:p w14:paraId="1D61AA75" w14:textId="77777777" w:rsidR="00841FD0" w:rsidRDefault="00841FD0" w:rsidP="003A0FAD">
      <w:pPr>
        <w:rPr>
          <w:rFonts w:ascii="Arial" w:hAnsi="Arial" w:cs="Arial"/>
          <w:bCs/>
        </w:rPr>
      </w:pPr>
    </w:p>
    <w:p w14:paraId="201D2607" w14:textId="05A6140B" w:rsidR="00841FD0" w:rsidRDefault="003A0FAD" w:rsidP="00841FD0">
      <w:pPr>
        <w:rPr>
          <w:rFonts w:ascii="Arial" w:hAnsi="Arial" w:cs="Arial"/>
          <w:bCs/>
        </w:rPr>
      </w:pPr>
      <w:r w:rsidRPr="00CA2D26">
        <w:rPr>
          <w:rFonts w:ascii="Arial" w:hAnsi="Arial" w:cs="Arial"/>
          <w:bCs/>
        </w:rPr>
        <w:lastRenderedPageBreak/>
        <w:t xml:space="preserve">Please refer to the </w:t>
      </w:r>
      <w:r w:rsidRPr="00CA2D26">
        <w:rPr>
          <w:rFonts w:ascii="Arial" w:hAnsi="Arial" w:cs="Arial"/>
          <w:b/>
          <w:bCs/>
        </w:rPr>
        <w:t>guidelines for PRACTICAL OncoArray QC document</w:t>
      </w:r>
      <w:r w:rsidRPr="00CA2D26">
        <w:rPr>
          <w:rFonts w:ascii="Arial" w:hAnsi="Arial" w:cs="Arial"/>
          <w:bCs/>
        </w:rPr>
        <w:t xml:space="preserve"> (at </w:t>
      </w:r>
      <w:hyperlink r:id="rId9" w:history="1">
        <w:r w:rsidR="009B7F91" w:rsidRPr="00FC7108">
          <w:rPr>
            <w:rStyle w:val="Hyperlink"/>
          </w:rPr>
          <w:t>http://practical.icr.ac.uk/blog/?page_id=6297</w:t>
        </w:r>
      </w:hyperlink>
      <w:r w:rsidRPr="00CA2D26">
        <w:rPr>
          <w:rFonts w:ascii="Arial" w:hAnsi="Arial" w:cs="Arial"/>
          <w:bCs/>
        </w:rPr>
        <w:t>) for a description of the imputation</w:t>
      </w:r>
      <w:r w:rsidR="00841FD0">
        <w:rPr>
          <w:rFonts w:ascii="Arial" w:hAnsi="Arial" w:cs="Arial"/>
          <w:bCs/>
        </w:rPr>
        <w:t xml:space="preserve"> in the OncoArray set</w:t>
      </w:r>
      <w:r w:rsidRPr="00CA2D26">
        <w:rPr>
          <w:rFonts w:ascii="Arial" w:hAnsi="Arial" w:cs="Arial"/>
          <w:bCs/>
        </w:rPr>
        <w:t>.</w:t>
      </w:r>
    </w:p>
    <w:p w14:paraId="514A04E4" w14:textId="774C4FE1" w:rsidR="003A0FAD" w:rsidRPr="00CA2D26" w:rsidRDefault="003A0FAD" w:rsidP="003A0FAD">
      <w:pPr>
        <w:tabs>
          <w:tab w:val="left" w:pos="8616"/>
        </w:tabs>
        <w:spacing w:after="0" w:line="240" w:lineRule="auto"/>
        <w:rPr>
          <w:rFonts w:ascii="Arial" w:hAnsi="Arial" w:cs="Arial"/>
          <w:bCs/>
        </w:rPr>
      </w:pPr>
      <w:r w:rsidRPr="00CA2D26">
        <w:rPr>
          <w:rFonts w:ascii="Arial" w:hAnsi="Arial" w:cs="Arial"/>
          <w:bCs/>
        </w:rPr>
        <w:t xml:space="preserve">The </w:t>
      </w:r>
      <w:r w:rsidRPr="007B0179">
        <w:rPr>
          <w:rFonts w:ascii="Arial" w:hAnsi="Arial" w:cs="Arial"/>
          <w:b/>
          <w:bCs/>
        </w:rPr>
        <w:t>fields</w:t>
      </w:r>
      <w:r w:rsidRPr="00CA2D26">
        <w:rPr>
          <w:rFonts w:ascii="Arial" w:hAnsi="Arial" w:cs="Arial"/>
          <w:bCs/>
        </w:rPr>
        <w:t xml:space="preserve"> included in the summary statistics file are:</w:t>
      </w:r>
    </w:p>
    <w:p w14:paraId="404A9EA8" w14:textId="77777777" w:rsidR="00F22EF4" w:rsidRPr="00CA2D26" w:rsidRDefault="00F22EF4" w:rsidP="003A0FAD">
      <w:pPr>
        <w:tabs>
          <w:tab w:val="left" w:pos="8616"/>
        </w:tabs>
        <w:spacing w:after="0" w:line="240" w:lineRule="auto"/>
        <w:rPr>
          <w:rFonts w:ascii="Arial" w:hAnsi="Arial" w:cs="Arial"/>
          <w:bCs/>
        </w:rPr>
      </w:pPr>
    </w:p>
    <w:tbl>
      <w:tblPr>
        <w:tblStyle w:val="TableGrid"/>
        <w:tblW w:w="9016" w:type="dxa"/>
        <w:tblLook w:val="04A0" w:firstRow="1" w:lastRow="0" w:firstColumn="1" w:lastColumn="0" w:noHBand="0" w:noVBand="1"/>
      </w:tblPr>
      <w:tblGrid>
        <w:gridCol w:w="3320"/>
        <w:gridCol w:w="5696"/>
      </w:tblGrid>
      <w:tr w:rsidR="003A0FAD" w:rsidRPr="00CA2D26" w14:paraId="056F764A" w14:textId="77777777" w:rsidTr="00F22EF4">
        <w:trPr>
          <w:trHeight w:val="300"/>
        </w:trPr>
        <w:tc>
          <w:tcPr>
            <w:tcW w:w="3320" w:type="dxa"/>
            <w:noWrap/>
            <w:hideMark/>
          </w:tcPr>
          <w:p w14:paraId="1FAA8D20" w14:textId="77777777" w:rsidR="003A0FAD" w:rsidRPr="00CA2D26" w:rsidRDefault="003A0FAD" w:rsidP="00CB3A9C">
            <w:pPr>
              <w:rPr>
                <w:rFonts w:ascii="Arial" w:hAnsi="Arial" w:cs="Arial"/>
                <w:b/>
                <w:bCs/>
                <w:u w:val="single"/>
              </w:rPr>
            </w:pPr>
            <w:r w:rsidRPr="00CA2D26">
              <w:rPr>
                <w:rFonts w:ascii="Arial" w:hAnsi="Arial" w:cs="Arial"/>
                <w:b/>
                <w:bCs/>
                <w:u w:val="single"/>
              </w:rPr>
              <w:t>Variable</w:t>
            </w:r>
          </w:p>
        </w:tc>
        <w:tc>
          <w:tcPr>
            <w:tcW w:w="5696" w:type="dxa"/>
            <w:noWrap/>
            <w:hideMark/>
          </w:tcPr>
          <w:p w14:paraId="6CF4C67C" w14:textId="77777777" w:rsidR="003A0FAD" w:rsidRPr="00CA2D26" w:rsidRDefault="003A0FAD" w:rsidP="00CB3A9C">
            <w:pPr>
              <w:rPr>
                <w:rFonts w:ascii="Arial" w:hAnsi="Arial" w:cs="Arial"/>
                <w:b/>
                <w:bCs/>
                <w:u w:val="single"/>
              </w:rPr>
            </w:pPr>
            <w:r w:rsidRPr="00CA2D26">
              <w:rPr>
                <w:rFonts w:ascii="Arial" w:hAnsi="Arial" w:cs="Arial"/>
                <w:b/>
                <w:bCs/>
                <w:u w:val="single"/>
              </w:rPr>
              <w:t>Description</w:t>
            </w:r>
          </w:p>
        </w:tc>
      </w:tr>
      <w:tr w:rsidR="00F22EF4" w:rsidRPr="00CA2D26" w14:paraId="5F9F6C8D" w14:textId="77777777" w:rsidTr="00F22EF4">
        <w:trPr>
          <w:trHeight w:val="300"/>
        </w:trPr>
        <w:tc>
          <w:tcPr>
            <w:tcW w:w="3320" w:type="dxa"/>
            <w:noWrap/>
            <w:hideMark/>
          </w:tcPr>
          <w:p w14:paraId="2019B673" w14:textId="7EA9983C" w:rsidR="00F22EF4" w:rsidRPr="00CA2D26" w:rsidRDefault="00F22EF4" w:rsidP="00F22EF4">
            <w:pPr>
              <w:rPr>
                <w:rFonts w:ascii="Arial" w:hAnsi="Arial" w:cs="Arial"/>
              </w:rPr>
            </w:pPr>
            <w:proofErr w:type="spellStart"/>
            <w:r w:rsidRPr="00F22EF4">
              <w:rPr>
                <w:rFonts w:ascii="Arial" w:eastAsia="Times New Roman" w:hAnsi="Arial" w:cs="Arial"/>
                <w:color w:val="000000"/>
                <w:lang w:eastAsia="en-GB"/>
              </w:rPr>
              <w:t>MarkerName</w:t>
            </w:r>
            <w:proofErr w:type="spellEnd"/>
          </w:p>
        </w:tc>
        <w:tc>
          <w:tcPr>
            <w:tcW w:w="5696" w:type="dxa"/>
            <w:noWrap/>
            <w:hideMark/>
          </w:tcPr>
          <w:p w14:paraId="15790AC9" w14:textId="60A740A4" w:rsidR="00F22EF4" w:rsidRPr="00CA2D26" w:rsidRDefault="0003351B" w:rsidP="00F22EF4">
            <w:pPr>
              <w:rPr>
                <w:rFonts w:ascii="Arial" w:hAnsi="Arial" w:cs="Arial"/>
              </w:rPr>
            </w:pPr>
            <w:r w:rsidRPr="0003351B">
              <w:rPr>
                <w:rFonts w:ascii="Arial" w:eastAsia="Times New Roman" w:hAnsi="Arial" w:cs="Arial"/>
                <w:color w:val="000000"/>
                <w:lang w:eastAsia="en-GB"/>
              </w:rPr>
              <w:t>Unique identifier for variant (Composed of chr_position_build37_a0_a1)</w:t>
            </w:r>
          </w:p>
        </w:tc>
      </w:tr>
      <w:tr w:rsidR="00A70E83" w:rsidRPr="00CA2D26" w14:paraId="2B4D68C0" w14:textId="77777777" w:rsidTr="00F22EF4">
        <w:trPr>
          <w:trHeight w:val="300"/>
        </w:trPr>
        <w:tc>
          <w:tcPr>
            <w:tcW w:w="3320" w:type="dxa"/>
            <w:noWrap/>
          </w:tcPr>
          <w:p w14:paraId="36F6E302" w14:textId="730886D5" w:rsidR="00A70E83" w:rsidRPr="00F22EF4" w:rsidRDefault="00A70E83" w:rsidP="00F22EF4">
            <w:pPr>
              <w:rPr>
                <w:rFonts w:ascii="Arial" w:eastAsia="Times New Roman" w:hAnsi="Arial" w:cs="Arial"/>
                <w:color w:val="000000"/>
                <w:lang w:eastAsia="en-GB"/>
              </w:rPr>
            </w:pPr>
            <w:proofErr w:type="spellStart"/>
            <w:r>
              <w:rPr>
                <w:rFonts w:ascii="Arial" w:eastAsia="Times New Roman" w:hAnsi="Arial" w:cs="Arial"/>
                <w:color w:val="000000"/>
                <w:lang w:eastAsia="en-GB"/>
              </w:rPr>
              <w:t>rs_id</w:t>
            </w:r>
            <w:proofErr w:type="spellEnd"/>
          </w:p>
        </w:tc>
        <w:tc>
          <w:tcPr>
            <w:tcW w:w="5696" w:type="dxa"/>
            <w:noWrap/>
          </w:tcPr>
          <w:p w14:paraId="386F9254" w14:textId="77777777" w:rsidR="00A70E83" w:rsidRPr="00F22EF4" w:rsidRDefault="00A70E83" w:rsidP="00F22EF4">
            <w:pPr>
              <w:rPr>
                <w:rFonts w:ascii="Arial" w:eastAsia="Times New Roman" w:hAnsi="Arial" w:cs="Arial"/>
                <w:color w:val="000000"/>
                <w:lang w:eastAsia="en-GB"/>
              </w:rPr>
            </w:pPr>
          </w:p>
        </w:tc>
      </w:tr>
      <w:tr w:rsidR="00A70E83" w:rsidRPr="00CA2D26" w14:paraId="78678FE2" w14:textId="77777777" w:rsidTr="00F22EF4">
        <w:trPr>
          <w:trHeight w:val="300"/>
        </w:trPr>
        <w:tc>
          <w:tcPr>
            <w:tcW w:w="3320" w:type="dxa"/>
            <w:noWrap/>
          </w:tcPr>
          <w:p w14:paraId="5E3B6477" w14:textId="29298EF1" w:rsidR="00A70E83" w:rsidRPr="00F22EF4" w:rsidRDefault="00A70E83" w:rsidP="00F22EF4">
            <w:pPr>
              <w:rPr>
                <w:rFonts w:ascii="Arial" w:eastAsia="Times New Roman" w:hAnsi="Arial" w:cs="Arial"/>
                <w:color w:val="000000"/>
                <w:lang w:eastAsia="en-GB"/>
              </w:rPr>
            </w:pPr>
            <w:r>
              <w:rPr>
                <w:rFonts w:ascii="Arial" w:eastAsia="Times New Roman" w:hAnsi="Arial" w:cs="Arial"/>
                <w:color w:val="000000"/>
                <w:lang w:eastAsia="en-GB"/>
              </w:rPr>
              <w:t>SNP</w:t>
            </w:r>
          </w:p>
        </w:tc>
        <w:tc>
          <w:tcPr>
            <w:tcW w:w="5696" w:type="dxa"/>
            <w:noWrap/>
          </w:tcPr>
          <w:p w14:paraId="278A1C2C" w14:textId="4E0B23D4" w:rsidR="00A70E83" w:rsidRPr="00F22EF4" w:rsidRDefault="00941394" w:rsidP="00F22EF4">
            <w:pPr>
              <w:rPr>
                <w:rFonts w:ascii="Arial" w:eastAsia="Times New Roman" w:hAnsi="Arial" w:cs="Arial"/>
                <w:color w:val="000000"/>
                <w:lang w:eastAsia="en-GB"/>
              </w:rPr>
            </w:pPr>
            <w:r w:rsidRPr="007F4579">
              <w:rPr>
                <w:rFonts w:ascii="Arial" w:hAnsi="Arial" w:cs="Arial"/>
              </w:rPr>
              <w:t xml:space="preserve">Name the variant was imputed as – either a 1000 Genomes identifier or the </w:t>
            </w:r>
            <w:proofErr w:type="spellStart"/>
            <w:r w:rsidRPr="007F4579">
              <w:rPr>
                <w:rFonts w:ascii="Arial" w:hAnsi="Arial" w:cs="Arial"/>
              </w:rPr>
              <w:t>Oncoarray</w:t>
            </w:r>
            <w:proofErr w:type="spellEnd"/>
            <w:r w:rsidRPr="007F4579">
              <w:rPr>
                <w:rFonts w:ascii="Arial" w:hAnsi="Arial" w:cs="Arial"/>
              </w:rPr>
              <w:t xml:space="preserve"> </w:t>
            </w:r>
            <w:proofErr w:type="gramStart"/>
            <w:r w:rsidRPr="007F4579">
              <w:rPr>
                <w:rFonts w:ascii="Arial" w:hAnsi="Arial" w:cs="Arial"/>
              </w:rPr>
              <w:t>SNP  Name</w:t>
            </w:r>
            <w:proofErr w:type="gramEnd"/>
            <w:r w:rsidRPr="007F4579">
              <w:rPr>
                <w:rFonts w:ascii="Arial" w:hAnsi="Arial" w:cs="Arial"/>
              </w:rPr>
              <w:t>.</w:t>
            </w:r>
          </w:p>
        </w:tc>
      </w:tr>
      <w:tr w:rsidR="00A70E83" w:rsidRPr="00CA2D26" w14:paraId="5C3A1B80" w14:textId="77777777" w:rsidTr="00F22EF4">
        <w:trPr>
          <w:trHeight w:val="300"/>
        </w:trPr>
        <w:tc>
          <w:tcPr>
            <w:tcW w:w="3320" w:type="dxa"/>
            <w:noWrap/>
          </w:tcPr>
          <w:p w14:paraId="1C1EB77A" w14:textId="3A5D8D3E" w:rsidR="00A70E83" w:rsidRPr="00F22EF4" w:rsidRDefault="00A70E83" w:rsidP="00F22EF4">
            <w:pPr>
              <w:rPr>
                <w:rFonts w:ascii="Arial" w:eastAsia="Times New Roman" w:hAnsi="Arial" w:cs="Arial"/>
                <w:color w:val="000000"/>
                <w:lang w:eastAsia="en-GB"/>
              </w:rPr>
            </w:pPr>
            <w:proofErr w:type="spellStart"/>
            <w:r>
              <w:rPr>
                <w:rFonts w:ascii="Arial" w:eastAsia="Times New Roman" w:hAnsi="Arial" w:cs="Arial"/>
                <w:color w:val="000000"/>
                <w:lang w:eastAsia="en-GB"/>
              </w:rPr>
              <w:t>Chr</w:t>
            </w:r>
            <w:proofErr w:type="spellEnd"/>
          </w:p>
        </w:tc>
        <w:tc>
          <w:tcPr>
            <w:tcW w:w="5696" w:type="dxa"/>
            <w:noWrap/>
          </w:tcPr>
          <w:p w14:paraId="61718CF9" w14:textId="4FBA909C" w:rsidR="00A70E83" w:rsidRPr="00F22EF4" w:rsidRDefault="00A70E83" w:rsidP="00F22EF4">
            <w:pPr>
              <w:rPr>
                <w:rFonts w:ascii="Arial" w:eastAsia="Times New Roman" w:hAnsi="Arial" w:cs="Arial"/>
                <w:color w:val="000000"/>
                <w:lang w:eastAsia="en-GB"/>
              </w:rPr>
            </w:pPr>
            <w:r>
              <w:rPr>
                <w:rFonts w:ascii="Arial" w:eastAsia="Times New Roman" w:hAnsi="Arial" w:cs="Arial"/>
                <w:color w:val="000000"/>
                <w:lang w:eastAsia="en-GB"/>
              </w:rPr>
              <w:t>Chromosome number</w:t>
            </w:r>
          </w:p>
        </w:tc>
      </w:tr>
      <w:tr w:rsidR="00A70E83" w:rsidRPr="00CA2D26" w14:paraId="130C199D" w14:textId="77777777" w:rsidTr="00F22EF4">
        <w:trPr>
          <w:trHeight w:val="300"/>
        </w:trPr>
        <w:tc>
          <w:tcPr>
            <w:tcW w:w="3320" w:type="dxa"/>
            <w:noWrap/>
          </w:tcPr>
          <w:p w14:paraId="73157EB1" w14:textId="32004743" w:rsidR="00A70E83" w:rsidRPr="00F22EF4" w:rsidRDefault="00A70E83" w:rsidP="00F22EF4">
            <w:pPr>
              <w:rPr>
                <w:rFonts w:ascii="Arial" w:eastAsia="Times New Roman" w:hAnsi="Arial" w:cs="Arial"/>
                <w:color w:val="000000"/>
                <w:lang w:eastAsia="en-GB"/>
              </w:rPr>
            </w:pPr>
            <w:r>
              <w:rPr>
                <w:rFonts w:ascii="Arial" w:eastAsia="Times New Roman" w:hAnsi="Arial" w:cs="Arial"/>
                <w:color w:val="000000"/>
                <w:lang w:eastAsia="en-GB"/>
              </w:rPr>
              <w:t>Position</w:t>
            </w:r>
          </w:p>
        </w:tc>
        <w:tc>
          <w:tcPr>
            <w:tcW w:w="5696" w:type="dxa"/>
            <w:noWrap/>
          </w:tcPr>
          <w:p w14:paraId="1AAA51AD" w14:textId="434A7E26" w:rsidR="00A70E83" w:rsidRPr="00F22EF4" w:rsidRDefault="00A70E83" w:rsidP="00F22EF4">
            <w:pPr>
              <w:rPr>
                <w:rFonts w:ascii="Arial" w:eastAsia="Times New Roman" w:hAnsi="Arial" w:cs="Arial"/>
                <w:color w:val="000000"/>
                <w:lang w:eastAsia="en-GB"/>
              </w:rPr>
            </w:pPr>
            <w:r>
              <w:rPr>
                <w:rFonts w:ascii="Arial" w:eastAsia="Times New Roman" w:hAnsi="Arial" w:cs="Arial"/>
                <w:color w:val="000000"/>
                <w:lang w:eastAsia="en-GB"/>
              </w:rPr>
              <w:t>Position (B37)</w:t>
            </w:r>
          </w:p>
        </w:tc>
      </w:tr>
      <w:tr w:rsidR="00F22EF4" w:rsidRPr="00CA2D26" w14:paraId="02A80A07" w14:textId="77777777" w:rsidTr="00F22EF4">
        <w:trPr>
          <w:trHeight w:val="300"/>
        </w:trPr>
        <w:tc>
          <w:tcPr>
            <w:tcW w:w="3320" w:type="dxa"/>
            <w:noWrap/>
            <w:hideMark/>
          </w:tcPr>
          <w:p w14:paraId="4A3ED519" w14:textId="0CDF62A7" w:rsidR="00F22EF4" w:rsidRPr="00CA2D26" w:rsidRDefault="00F22EF4" w:rsidP="00F22EF4">
            <w:pPr>
              <w:rPr>
                <w:rFonts w:ascii="Arial" w:hAnsi="Arial" w:cs="Arial"/>
              </w:rPr>
            </w:pPr>
            <w:r w:rsidRPr="00F22EF4">
              <w:rPr>
                <w:rFonts w:ascii="Arial" w:eastAsia="Times New Roman" w:hAnsi="Arial" w:cs="Arial"/>
                <w:color w:val="000000"/>
                <w:lang w:eastAsia="en-GB"/>
              </w:rPr>
              <w:t>Allele1</w:t>
            </w:r>
          </w:p>
        </w:tc>
        <w:tc>
          <w:tcPr>
            <w:tcW w:w="5696" w:type="dxa"/>
            <w:noWrap/>
            <w:hideMark/>
          </w:tcPr>
          <w:p w14:paraId="67820934" w14:textId="390F1F5C" w:rsidR="00F22EF4" w:rsidRPr="00CA2D26" w:rsidRDefault="00F22EF4" w:rsidP="00F22EF4">
            <w:pPr>
              <w:rPr>
                <w:rFonts w:ascii="Arial" w:hAnsi="Arial" w:cs="Arial"/>
              </w:rPr>
            </w:pPr>
            <w:r w:rsidRPr="00F22EF4">
              <w:rPr>
                <w:rFonts w:ascii="Arial" w:eastAsia="Times New Roman" w:hAnsi="Arial" w:cs="Arial"/>
                <w:color w:val="000000"/>
                <w:lang w:eastAsia="en-GB"/>
              </w:rPr>
              <w:t>the first allele for this marker in the first file where it occurs</w:t>
            </w:r>
          </w:p>
        </w:tc>
      </w:tr>
      <w:tr w:rsidR="00F22EF4" w:rsidRPr="00CA2D26" w14:paraId="08AB02A4" w14:textId="77777777" w:rsidTr="00F22EF4">
        <w:trPr>
          <w:trHeight w:val="300"/>
        </w:trPr>
        <w:tc>
          <w:tcPr>
            <w:tcW w:w="3320" w:type="dxa"/>
            <w:noWrap/>
            <w:hideMark/>
          </w:tcPr>
          <w:p w14:paraId="039564DF" w14:textId="7F736D1D" w:rsidR="00F22EF4" w:rsidRPr="00CA2D26" w:rsidRDefault="00F22EF4" w:rsidP="00F22EF4">
            <w:pPr>
              <w:rPr>
                <w:rFonts w:ascii="Arial" w:hAnsi="Arial" w:cs="Arial"/>
              </w:rPr>
            </w:pPr>
            <w:r w:rsidRPr="00F22EF4">
              <w:rPr>
                <w:rFonts w:ascii="Arial" w:eastAsia="Times New Roman" w:hAnsi="Arial" w:cs="Arial"/>
                <w:color w:val="000000"/>
                <w:lang w:eastAsia="en-GB"/>
              </w:rPr>
              <w:t>Allele2</w:t>
            </w:r>
          </w:p>
        </w:tc>
        <w:tc>
          <w:tcPr>
            <w:tcW w:w="5696" w:type="dxa"/>
            <w:noWrap/>
            <w:hideMark/>
          </w:tcPr>
          <w:p w14:paraId="154B6694" w14:textId="1D218E1F" w:rsidR="00F22EF4" w:rsidRPr="00CA2D26" w:rsidRDefault="00F22EF4" w:rsidP="00F22EF4">
            <w:pPr>
              <w:rPr>
                <w:rFonts w:ascii="Arial" w:hAnsi="Arial" w:cs="Arial"/>
              </w:rPr>
            </w:pPr>
            <w:r w:rsidRPr="00F22EF4">
              <w:rPr>
                <w:rFonts w:ascii="Arial" w:eastAsia="Times New Roman" w:hAnsi="Arial" w:cs="Arial"/>
                <w:color w:val="000000"/>
                <w:lang w:eastAsia="en-GB"/>
              </w:rPr>
              <w:t>the second allele for this marker in the first file where it occurs</w:t>
            </w:r>
          </w:p>
        </w:tc>
      </w:tr>
      <w:tr w:rsidR="00F22EF4" w:rsidRPr="00CA2D26" w14:paraId="381ABF8A" w14:textId="77777777" w:rsidTr="00F22EF4">
        <w:trPr>
          <w:trHeight w:val="300"/>
        </w:trPr>
        <w:tc>
          <w:tcPr>
            <w:tcW w:w="3320" w:type="dxa"/>
            <w:noWrap/>
            <w:hideMark/>
          </w:tcPr>
          <w:p w14:paraId="239111BA" w14:textId="1ACE792C" w:rsidR="00F22EF4" w:rsidRPr="00CA2D26" w:rsidRDefault="00F22EF4" w:rsidP="00F22EF4">
            <w:pPr>
              <w:rPr>
                <w:rFonts w:ascii="Arial" w:hAnsi="Arial" w:cs="Arial"/>
              </w:rPr>
            </w:pPr>
            <w:r w:rsidRPr="00F22EF4">
              <w:rPr>
                <w:rFonts w:ascii="Arial" w:eastAsia="Times New Roman" w:hAnsi="Arial" w:cs="Arial"/>
                <w:color w:val="000000"/>
                <w:lang w:eastAsia="en-GB"/>
              </w:rPr>
              <w:t>Freq1</w:t>
            </w:r>
          </w:p>
        </w:tc>
        <w:tc>
          <w:tcPr>
            <w:tcW w:w="5696" w:type="dxa"/>
            <w:noWrap/>
            <w:hideMark/>
          </w:tcPr>
          <w:p w14:paraId="0F61DAFC" w14:textId="43DFD739" w:rsidR="00F22EF4" w:rsidRPr="00CA2D26" w:rsidRDefault="00F22EF4" w:rsidP="00F22EF4">
            <w:pPr>
              <w:rPr>
                <w:rFonts w:ascii="Arial" w:hAnsi="Arial" w:cs="Arial"/>
              </w:rPr>
            </w:pPr>
            <w:r w:rsidRPr="00F22EF4">
              <w:rPr>
                <w:rFonts w:ascii="Arial" w:eastAsia="Times New Roman" w:hAnsi="Arial" w:cs="Arial"/>
                <w:color w:val="000000"/>
                <w:lang w:eastAsia="en-GB"/>
              </w:rPr>
              <w:t>weighted average of frequency for allele 1 across all studies</w:t>
            </w:r>
            <w:r w:rsidR="00182C8B">
              <w:rPr>
                <w:rFonts w:ascii="Arial" w:eastAsia="Times New Roman" w:hAnsi="Arial" w:cs="Arial"/>
                <w:color w:val="000000"/>
                <w:lang w:eastAsia="en-GB"/>
              </w:rPr>
              <w:t xml:space="preserve"> (for controls)</w:t>
            </w:r>
          </w:p>
        </w:tc>
      </w:tr>
      <w:tr w:rsidR="00F22EF4" w:rsidRPr="00CA2D26" w14:paraId="79C6CDBB" w14:textId="77777777" w:rsidTr="00F22EF4">
        <w:trPr>
          <w:trHeight w:val="300"/>
        </w:trPr>
        <w:tc>
          <w:tcPr>
            <w:tcW w:w="3320" w:type="dxa"/>
            <w:noWrap/>
            <w:hideMark/>
          </w:tcPr>
          <w:p w14:paraId="7532E5FC" w14:textId="644E0001" w:rsidR="00F22EF4" w:rsidRPr="00CA2D26" w:rsidRDefault="00F22EF4" w:rsidP="00F22EF4">
            <w:pPr>
              <w:rPr>
                <w:rFonts w:ascii="Arial" w:hAnsi="Arial" w:cs="Arial"/>
              </w:rPr>
            </w:pPr>
            <w:proofErr w:type="spellStart"/>
            <w:r w:rsidRPr="00F22EF4">
              <w:rPr>
                <w:rFonts w:ascii="Arial" w:eastAsia="Times New Roman" w:hAnsi="Arial" w:cs="Arial"/>
                <w:color w:val="000000"/>
                <w:lang w:eastAsia="en-GB"/>
              </w:rPr>
              <w:t>FreqSE</w:t>
            </w:r>
            <w:proofErr w:type="spellEnd"/>
          </w:p>
        </w:tc>
        <w:tc>
          <w:tcPr>
            <w:tcW w:w="5696" w:type="dxa"/>
            <w:noWrap/>
            <w:hideMark/>
          </w:tcPr>
          <w:p w14:paraId="3CADFCC4" w14:textId="37027A6C" w:rsidR="00F22EF4" w:rsidRPr="00CA2D26" w:rsidRDefault="00F22EF4" w:rsidP="00F22EF4">
            <w:pPr>
              <w:rPr>
                <w:rFonts w:ascii="Arial" w:hAnsi="Arial" w:cs="Arial"/>
              </w:rPr>
            </w:pPr>
            <w:r w:rsidRPr="00F22EF4">
              <w:rPr>
                <w:rFonts w:ascii="Arial" w:eastAsia="Times New Roman" w:hAnsi="Arial" w:cs="Arial"/>
                <w:color w:val="000000"/>
                <w:lang w:eastAsia="en-GB"/>
              </w:rPr>
              <w:t>corresponding standard error for allele frequency estimate</w:t>
            </w:r>
          </w:p>
        </w:tc>
      </w:tr>
      <w:tr w:rsidR="00F22EF4" w:rsidRPr="00CA2D26" w14:paraId="6BAAC413" w14:textId="77777777" w:rsidTr="00F22EF4">
        <w:trPr>
          <w:trHeight w:val="300"/>
        </w:trPr>
        <w:tc>
          <w:tcPr>
            <w:tcW w:w="3320" w:type="dxa"/>
            <w:noWrap/>
            <w:hideMark/>
          </w:tcPr>
          <w:p w14:paraId="5ACF79AA" w14:textId="4CD39225" w:rsidR="00F22EF4" w:rsidRPr="00CA2D26" w:rsidRDefault="00F22EF4" w:rsidP="00F22EF4">
            <w:pPr>
              <w:rPr>
                <w:rFonts w:ascii="Arial" w:hAnsi="Arial" w:cs="Arial"/>
              </w:rPr>
            </w:pPr>
            <w:proofErr w:type="spellStart"/>
            <w:r w:rsidRPr="00F22EF4">
              <w:rPr>
                <w:rFonts w:ascii="Arial" w:eastAsia="Times New Roman" w:hAnsi="Arial" w:cs="Arial"/>
                <w:color w:val="000000"/>
                <w:lang w:eastAsia="en-GB"/>
              </w:rPr>
              <w:t>MinFreq</w:t>
            </w:r>
            <w:proofErr w:type="spellEnd"/>
          </w:p>
        </w:tc>
        <w:tc>
          <w:tcPr>
            <w:tcW w:w="5696" w:type="dxa"/>
            <w:noWrap/>
            <w:hideMark/>
          </w:tcPr>
          <w:p w14:paraId="647B5CFA" w14:textId="20F65473" w:rsidR="00F22EF4" w:rsidRPr="00CA2D26" w:rsidRDefault="00F22EF4" w:rsidP="00F22EF4">
            <w:pPr>
              <w:rPr>
                <w:rFonts w:ascii="Arial" w:hAnsi="Arial" w:cs="Arial"/>
              </w:rPr>
            </w:pPr>
            <w:r w:rsidRPr="00F22EF4">
              <w:rPr>
                <w:rFonts w:ascii="Arial" w:eastAsia="Times New Roman" w:hAnsi="Arial" w:cs="Arial"/>
                <w:color w:val="000000"/>
                <w:lang w:eastAsia="en-GB"/>
              </w:rPr>
              <w:t>minimum frequency for allele 1 across all studies</w:t>
            </w:r>
          </w:p>
        </w:tc>
      </w:tr>
      <w:tr w:rsidR="00F22EF4" w:rsidRPr="00CA2D26" w14:paraId="05B7D6D9" w14:textId="77777777" w:rsidTr="00F22EF4">
        <w:trPr>
          <w:trHeight w:val="300"/>
        </w:trPr>
        <w:tc>
          <w:tcPr>
            <w:tcW w:w="3320" w:type="dxa"/>
            <w:noWrap/>
            <w:hideMark/>
          </w:tcPr>
          <w:p w14:paraId="11310444" w14:textId="504F511D" w:rsidR="00F22EF4" w:rsidRPr="00CA2D26" w:rsidRDefault="00F22EF4" w:rsidP="00F22EF4">
            <w:pPr>
              <w:rPr>
                <w:rFonts w:ascii="Arial" w:hAnsi="Arial" w:cs="Arial"/>
              </w:rPr>
            </w:pPr>
            <w:proofErr w:type="spellStart"/>
            <w:r w:rsidRPr="00F22EF4">
              <w:rPr>
                <w:rFonts w:ascii="Arial" w:eastAsia="Times New Roman" w:hAnsi="Arial" w:cs="Arial"/>
                <w:color w:val="000000"/>
                <w:lang w:eastAsia="en-GB"/>
              </w:rPr>
              <w:t>MaxFreq</w:t>
            </w:r>
            <w:proofErr w:type="spellEnd"/>
          </w:p>
        </w:tc>
        <w:tc>
          <w:tcPr>
            <w:tcW w:w="5696" w:type="dxa"/>
            <w:noWrap/>
            <w:hideMark/>
          </w:tcPr>
          <w:p w14:paraId="207D65D1" w14:textId="0813CBFC" w:rsidR="00F22EF4" w:rsidRPr="00CA2D26" w:rsidRDefault="00F22EF4" w:rsidP="00F22EF4">
            <w:pPr>
              <w:rPr>
                <w:rFonts w:ascii="Arial" w:hAnsi="Arial" w:cs="Arial"/>
              </w:rPr>
            </w:pPr>
            <w:r w:rsidRPr="00F22EF4">
              <w:rPr>
                <w:rFonts w:ascii="Arial" w:eastAsia="Times New Roman" w:hAnsi="Arial" w:cs="Arial"/>
                <w:color w:val="000000"/>
                <w:lang w:eastAsia="en-GB"/>
              </w:rPr>
              <w:t>maximum frequency for allele 1 across all studies</w:t>
            </w:r>
          </w:p>
        </w:tc>
      </w:tr>
      <w:tr w:rsidR="00F22EF4" w:rsidRPr="00CA2D26" w14:paraId="383CEB8F" w14:textId="77777777" w:rsidTr="00F22EF4">
        <w:trPr>
          <w:trHeight w:val="300"/>
        </w:trPr>
        <w:tc>
          <w:tcPr>
            <w:tcW w:w="3320" w:type="dxa"/>
            <w:noWrap/>
            <w:hideMark/>
          </w:tcPr>
          <w:p w14:paraId="78BA0717" w14:textId="633CD870" w:rsidR="00F22EF4" w:rsidRPr="00CA2D26" w:rsidRDefault="00F22EF4" w:rsidP="00F22EF4">
            <w:pPr>
              <w:rPr>
                <w:rFonts w:ascii="Arial" w:hAnsi="Arial" w:cs="Arial"/>
              </w:rPr>
            </w:pPr>
            <w:r w:rsidRPr="00F22EF4">
              <w:rPr>
                <w:rFonts w:ascii="Arial" w:eastAsia="Times New Roman" w:hAnsi="Arial" w:cs="Arial"/>
                <w:color w:val="000000"/>
                <w:lang w:eastAsia="en-GB"/>
              </w:rPr>
              <w:t>Effect</w:t>
            </w:r>
          </w:p>
        </w:tc>
        <w:tc>
          <w:tcPr>
            <w:tcW w:w="5696" w:type="dxa"/>
            <w:noWrap/>
            <w:hideMark/>
          </w:tcPr>
          <w:p w14:paraId="13AEE968" w14:textId="48791059" w:rsidR="00F22EF4" w:rsidRPr="00CA2D26" w:rsidRDefault="00F22EF4" w:rsidP="00F22EF4">
            <w:pPr>
              <w:rPr>
                <w:rFonts w:ascii="Arial" w:hAnsi="Arial" w:cs="Arial"/>
              </w:rPr>
            </w:pPr>
            <w:r w:rsidRPr="00F22EF4">
              <w:rPr>
                <w:rFonts w:ascii="Arial" w:eastAsia="Times New Roman" w:hAnsi="Arial" w:cs="Arial"/>
                <w:color w:val="000000"/>
                <w:lang w:eastAsia="en-GB"/>
              </w:rPr>
              <w:t>overall estimated effect size for allele1</w:t>
            </w:r>
            <w:r w:rsidR="0074591B">
              <w:rPr>
                <w:rFonts w:ascii="Arial" w:eastAsia="Times New Roman" w:hAnsi="Arial" w:cs="Arial"/>
                <w:color w:val="000000"/>
                <w:lang w:eastAsia="en-GB"/>
              </w:rPr>
              <w:t xml:space="preserve"> *</w:t>
            </w:r>
          </w:p>
        </w:tc>
      </w:tr>
      <w:tr w:rsidR="00F22EF4" w:rsidRPr="00CA2D26" w14:paraId="0B2C2B98" w14:textId="77777777" w:rsidTr="00F22EF4">
        <w:trPr>
          <w:trHeight w:val="300"/>
        </w:trPr>
        <w:tc>
          <w:tcPr>
            <w:tcW w:w="3320" w:type="dxa"/>
            <w:noWrap/>
            <w:hideMark/>
          </w:tcPr>
          <w:p w14:paraId="1425B04F" w14:textId="3B0AC6D6" w:rsidR="00F22EF4" w:rsidRPr="00CA2D26" w:rsidRDefault="00F22EF4" w:rsidP="00F22EF4">
            <w:pPr>
              <w:rPr>
                <w:rFonts w:ascii="Arial" w:hAnsi="Arial" w:cs="Arial"/>
              </w:rPr>
            </w:pPr>
            <w:proofErr w:type="spellStart"/>
            <w:r w:rsidRPr="00F22EF4">
              <w:rPr>
                <w:rFonts w:ascii="Arial" w:eastAsia="Times New Roman" w:hAnsi="Arial" w:cs="Arial"/>
                <w:color w:val="000000"/>
                <w:lang w:eastAsia="en-GB"/>
              </w:rPr>
              <w:t>StdErr</w:t>
            </w:r>
            <w:proofErr w:type="spellEnd"/>
          </w:p>
        </w:tc>
        <w:tc>
          <w:tcPr>
            <w:tcW w:w="5696" w:type="dxa"/>
            <w:noWrap/>
            <w:hideMark/>
          </w:tcPr>
          <w:p w14:paraId="04E974A2" w14:textId="2F1C7940" w:rsidR="00F22EF4" w:rsidRPr="00CA2D26" w:rsidRDefault="00F22EF4" w:rsidP="00F22EF4">
            <w:pPr>
              <w:rPr>
                <w:rFonts w:ascii="Arial" w:hAnsi="Arial" w:cs="Arial"/>
              </w:rPr>
            </w:pPr>
            <w:r w:rsidRPr="00F22EF4">
              <w:rPr>
                <w:rFonts w:ascii="Arial" w:eastAsia="Times New Roman" w:hAnsi="Arial" w:cs="Arial"/>
                <w:color w:val="000000"/>
                <w:lang w:eastAsia="en-GB"/>
              </w:rPr>
              <w:t>overall standard error for effect size estimate</w:t>
            </w:r>
          </w:p>
        </w:tc>
      </w:tr>
      <w:tr w:rsidR="00F22EF4" w:rsidRPr="00CA2D26" w14:paraId="3CBAE722" w14:textId="77777777" w:rsidTr="00F22EF4">
        <w:trPr>
          <w:trHeight w:val="300"/>
        </w:trPr>
        <w:tc>
          <w:tcPr>
            <w:tcW w:w="3320" w:type="dxa"/>
            <w:noWrap/>
            <w:hideMark/>
          </w:tcPr>
          <w:p w14:paraId="3891174C" w14:textId="0EF2A5F2" w:rsidR="00F22EF4" w:rsidRPr="00CA2D26" w:rsidRDefault="00F22EF4" w:rsidP="00F22EF4">
            <w:pPr>
              <w:rPr>
                <w:rFonts w:ascii="Arial" w:hAnsi="Arial" w:cs="Arial"/>
              </w:rPr>
            </w:pPr>
            <w:r w:rsidRPr="00F22EF4">
              <w:rPr>
                <w:rFonts w:ascii="Arial" w:eastAsia="Times New Roman" w:hAnsi="Arial" w:cs="Arial"/>
                <w:color w:val="000000"/>
                <w:lang w:eastAsia="en-GB"/>
              </w:rPr>
              <w:t>P-value</w:t>
            </w:r>
          </w:p>
        </w:tc>
        <w:tc>
          <w:tcPr>
            <w:tcW w:w="5696" w:type="dxa"/>
            <w:noWrap/>
            <w:hideMark/>
          </w:tcPr>
          <w:p w14:paraId="3137977A" w14:textId="3EF1F2D3" w:rsidR="00F22EF4" w:rsidRPr="00CA2D26" w:rsidRDefault="00F22EF4" w:rsidP="00F22EF4">
            <w:pPr>
              <w:rPr>
                <w:rFonts w:ascii="Arial" w:hAnsi="Arial" w:cs="Arial"/>
              </w:rPr>
            </w:pPr>
            <w:r w:rsidRPr="00F22EF4">
              <w:rPr>
                <w:rFonts w:ascii="Arial" w:eastAsia="Times New Roman" w:hAnsi="Arial" w:cs="Arial"/>
                <w:color w:val="000000"/>
                <w:lang w:eastAsia="en-GB"/>
              </w:rPr>
              <w:t>meta-analysis p-value</w:t>
            </w:r>
          </w:p>
        </w:tc>
      </w:tr>
      <w:tr w:rsidR="00F22EF4" w:rsidRPr="00CA2D26" w14:paraId="66C319C9" w14:textId="77777777" w:rsidTr="00F22EF4">
        <w:trPr>
          <w:trHeight w:val="300"/>
        </w:trPr>
        <w:tc>
          <w:tcPr>
            <w:tcW w:w="3320" w:type="dxa"/>
            <w:noWrap/>
            <w:hideMark/>
          </w:tcPr>
          <w:p w14:paraId="6941C596" w14:textId="2C651CB5" w:rsidR="00F22EF4" w:rsidRPr="00CA2D26" w:rsidRDefault="00F22EF4" w:rsidP="00F22EF4">
            <w:pPr>
              <w:rPr>
                <w:rFonts w:ascii="Arial" w:hAnsi="Arial" w:cs="Arial"/>
              </w:rPr>
            </w:pPr>
            <w:r w:rsidRPr="00F22EF4">
              <w:rPr>
                <w:rFonts w:ascii="Arial" w:eastAsia="Times New Roman" w:hAnsi="Arial" w:cs="Arial"/>
                <w:color w:val="000000"/>
                <w:lang w:eastAsia="en-GB"/>
              </w:rPr>
              <w:t>Direction</w:t>
            </w:r>
          </w:p>
        </w:tc>
        <w:tc>
          <w:tcPr>
            <w:tcW w:w="5696" w:type="dxa"/>
            <w:noWrap/>
            <w:hideMark/>
          </w:tcPr>
          <w:p w14:paraId="1B45FB36" w14:textId="4ABFA022" w:rsidR="00F22EF4" w:rsidRPr="00CA2D26" w:rsidRDefault="00F22EF4" w:rsidP="00F22EF4">
            <w:pPr>
              <w:rPr>
                <w:rFonts w:ascii="Arial" w:hAnsi="Arial" w:cs="Arial"/>
              </w:rPr>
            </w:pPr>
            <w:r w:rsidRPr="00F22EF4">
              <w:rPr>
                <w:rFonts w:ascii="Arial" w:eastAsia="Times New Roman" w:hAnsi="Arial" w:cs="Arial"/>
                <w:color w:val="000000"/>
                <w:lang w:eastAsia="en-GB"/>
              </w:rPr>
              <w:t xml:space="preserve">summary </w:t>
            </w:r>
            <w:bookmarkStart w:id="0" w:name="_GoBack"/>
            <w:bookmarkEnd w:id="0"/>
            <w:r w:rsidRPr="00F22EF4">
              <w:rPr>
                <w:rFonts w:ascii="Arial" w:eastAsia="Times New Roman" w:hAnsi="Arial" w:cs="Arial"/>
                <w:color w:val="000000"/>
                <w:lang w:eastAsia="en-GB"/>
              </w:rPr>
              <w:t>of effect direction for each study</w:t>
            </w:r>
            <w:r w:rsidRPr="00CA2D26">
              <w:rPr>
                <w:rFonts w:ascii="Arial" w:eastAsia="Times New Roman" w:hAnsi="Arial" w:cs="Arial"/>
                <w:color w:val="000000"/>
                <w:lang w:eastAsia="en-GB"/>
              </w:rPr>
              <w:t>, with one '+' or '-' per study</w:t>
            </w:r>
          </w:p>
        </w:tc>
      </w:tr>
      <w:tr w:rsidR="000D131A" w:rsidRPr="00CA2D26" w14:paraId="1747C132" w14:textId="77777777" w:rsidTr="00F22EF4">
        <w:trPr>
          <w:trHeight w:val="300"/>
        </w:trPr>
        <w:tc>
          <w:tcPr>
            <w:tcW w:w="3320" w:type="dxa"/>
            <w:noWrap/>
          </w:tcPr>
          <w:p w14:paraId="7C84110D" w14:textId="47B02C2D" w:rsidR="000D131A" w:rsidRPr="00F22EF4" w:rsidRDefault="000D131A" w:rsidP="00F22EF4">
            <w:pPr>
              <w:rPr>
                <w:rFonts w:ascii="Arial" w:eastAsia="Times New Roman" w:hAnsi="Arial" w:cs="Arial"/>
                <w:color w:val="000000"/>
                <w:lang w:eastAsia="en-GB"/>
              </w:rPr>
            </w:pPr>
            <w:r w:rsidRPr="000D131A">
              <w:rPr>
                <w:rFonts w:ascii="Arial" w:eastAsia="Times New Roman" w:hAnsi="Arial" w:cs="Arial"/>
                <w:color w:val="000000"/>
                <w:lang w:eastAsia="en-GB"/>
              </w:rPr>
              <w:t>OncoArray_imputation_r2</w:t>
            </w:r>
          </w:p>
        </w:tc>
        <w:tc>
          <w:tcPr>
            <w:tcW w:w="5696" w:type="dxa"/>
            <w:noWrap/>
          </w:tcPr>
          <w:p w14:paraId="718F088B" w14:textId="23604309" w:rsidR="000D131A" w:rsidRPr="00F22EF4" w:rsidRDefault="000D131A" w:rsidP="00F22EF4">
            <w:pPr>
              <w:rPr>
                <w:rFonts w:ascii="Arial" w:eastAsia="Times New Roman" w:hAnsi="Arial" w:cs="Arial"/>
                <w:color w:val="000000"/>
                <w:lang w:eastAsia="en-GB"/>
              </w:rPr>
            </w:pPr>
            <w:r>
              <w:rPr>
                <w:rFonts w:ascii="Arial" w:eastAsia="Times New Roman" w:hAnsi="Arial" w:cs="Arial"/>
                <w:color w:val="000000"/>
                <w:lang w:eastAsia="en-GB"/>
              </w:rPr>
              <w:t xml:space="preserve">QC score for the variant on </w:t>
            </w:r>
            <w:proofErr w:type="spellStart"/>
            <w:r>
              <w:rPr>
                <w:rFonts w:ascii="Arial" w:eastAsia="Times New Roman" w:hAnsi="Arial" w:cs="Arial"/>
                <w:color w:val="000000"/>
                <w:lang w:eastAsia="en-GB"/>
              </w:rPr>
              <w:t>OncoArray</w:t>
            </w:r>
            <w:proofErr w:type="spellEnd"/>
          </w:p>
        </w:tc>
      </w:tr>
    </w:tbl>
    <w:p w14:paraId="687BA3E6" w14:textId="77777777" w:rsidR="003B25A7" w:rsidRDefault="003B25A7" w:rsidP="00035E31">
      <w:pPr>
        <w:pStyle w:val="ListParagraph"/>
        <w:ind w:left="0"/>
        <w:rPr>
          <w:rFonts w:ascii="Arial" w:hAnsi="Arial" w:cs="Arial"/>
        </w:rPr>
      </w:pPr>
    </w:p>
    <w:p w14:paraId="6340AB8A" w14:textId="77777777" w:rsidR="00AB0805" w:rsidRDefault="0074591B" w:rsidP="0074591B">
      <w:pPr>
        <w:rPr>
          <w:rFonts w:ascii="Arial" w:hAnsi="Arial" w:cs="Arial"/>
        </w:rPr>
      </w:pPr>
      <w:r w:rsidRPr="0074591B">
        <w:rPr>
          <w:rFonts w:ascii="Arial" w:hAnsi="Arial" w:cs="Arial"/>
        </w:rPr>
        <w:t>*</w:t>
      </w:r>
      <w:r>
        <w:rPr>
          <w:rFonts w:ascii="Arial" w:hAnsi="Arial" w:cs="Arial"/>
        </w:rPr>
        <w:t xml:space="preserve"> </w:t>
      </w:r>
      <w:r w:rsidRPr="0074591B">
        <w:rPr>
          <w:rFonts w:ascii="Arial" w:hAnsi="Arial" w:cs="Arial"/>
        </w:rPr>
        <w:t xml:space="preserve">The effect in meta-analysis files are “beta”. To get </w:t>
      </w:r>
      <w:proofErr w:type="gramStart"/>
      <w:r w:rsidRPr="0074591B">
        <w:rPr>
          <w:rFonts w:ascii="Arial" w:hAnsi="Arial" w:cs="Arial"/>
        </w:rPr>
        <w:t xml:space="preserve">OR </w:t>
      </w:r>
      <w:r>
        <w:rPr>
          <w:rFonts w:ascii="Arial" w:hAnsi="Arial" w:cs="Arial"/>
        </w:rPr>
        <w:t xml:space="preserve"> =</w:t>
      </w:r>
      <w:proofErr w:type="gramEnd"/>
      <w:r>
        <w:rPr>
          <w:rFonts w:ascii="Arial" w:hAnsi="Arial" w:cs="Arial"/>
        </w:rPr>
        <w:t xml:space="preserve"> </w:t>
      </w:r>
      <w:proofErr w:type="spellStart"/>
      <w:r w:rsidRPr="0074591B">
        <w:rPr>
          <w:rFonts w:ascii="Arial" w:hAnsi="Arial" w:cs="Arial"/>
        </w:rPr>
        <w:t>exp</w:t>
      </w:r>
      <w:proofErr w:type="spellEnd"/>
      <w:r w:rsidRPr="0074591B">
        <w:rPr>
          <w:rFonts w:ascii="Arial" w:hAnsi="Arial" w:cs="Arial"/>
        </w:rPr>
        <w:t xml:space="preserve">(beta). </w:t>
      </w:r>
    </w:p>
    <w:p w14:paraId="67750CE8" w14:textId="32A3F5EC" w:rsidR="0074591B" w:rsidRPr="0074591B" w:rsidRDefault="00AB0805" w:rsidP="0074591B">
      <w:pPr>
        <w:rPr>
          <w:rFonts w:ascii="Arial" w:hAnsi="Arial" w:cs="Arial"/>
        </w:rPr>
      </w:pPr>
      <w:r>
        <w:rPr>
          <w:rFonts w:ascii="Arial" w:hAnsi="Arial" w:cs="Arial"/>
        </w:rPr>
        <w:t xml:space="preserve">The </w:t>
      </w:r>
      <w:r w:rsidRPr="0074591B">
        <w:rPr>
          <w:rFonts w:ascii="Arial" w:hAnsi="Arial" w:cs="Arial"/>
        </w:rPr>
        <w:t>METAL</w:t>
      </w:r>
      <w:r>
        <w:rPr>
          <w:rFonts w:ascii="Arial" w:hAnsi="Arial" w:cs="Arial"/>
        </w:rPr>
        <w:t xml:space="preserve"> program has been used for </w:t>
      </w:r>
      <w:r w:rsidR="003A0B8E">
        <w:rPr>
          <w:rFonts w:ascii="Arial" w:hAnsi="Arial" w:cs="Arial"/>
        </w:rPr>
        <w:t>the meta-analysi</w:t>
      </w:r>
      <w:r w:rsidR="00F52596">
        <w:rPr>
          <w:rFonts w:ascii="Arial" w:hAnsi="Arial" w:cs="Arial"/>
        </w:rPr>
        <w:t>s</w:t>
      </w:r>
      <w:proofErr w:type="gramStart"/>
      <w:r w:rsidR="003A0B8E">
        <w:rPr>
          <w:rFonts w:ascii="Arial" w:hAnsi="Arial" w:cs="Arial"/>
        </w:rPr>
        <w:t>.</w:t>
      </w:r>
      <w:r>
        <w:rPr>
          <w:rFonts w:ascii="Arial" w:hAnsi="Arial" w:cs="Arial"/>
        </w:rPr>
        <w:t>.</w:t>
      </w:r>
      <w:proofErr w:type="gramEnd"/>
    </w:p>
    <w:p w14:paraId="5A5ED7ED" w14:textId="77777777" w:rsidR="0074591B" w:rsidRDefault="0074591B" w:rsidP="0074591B">
      <w:pPr>
        <w:pStyle w:val="ListParagraph"/>
        <w:rPr>
          <w:rFonts w:ascii="Arial" w:hAnsi="Arial" w:cs="Arial"/>
        </w:rPr>
      </w:pPr>
    </w:p>
    <w:p w14:paraId="26070365" w14:textId="41F80CE3" w:rsidR="007B5B64" w:rsidRPr="00CA2D26" w:rsidRDefault="005E2557" w:rsidP="00A556BC">
      <w:pPr>
        <w:pStyle w:val="ListParagraph"/>
        <w:numPr>
          <w:ilvl w:val="0"/>
          <w:numId w:val="1"/>
        </w:numPr>
        <w:ind w:left="426" w:hanging="426"/>
        <w:rPr>
          <w:rFonts w:ascii="Arial" w:hAnsi="Arial" w:cs="Arial"/>
          <w:b/>
          <w:u w:val="single"/>
        </w:rPr>
      </w:pPr>
      <w:r>
        <w:rPr>
          <w:rFonts w:ascii="Arial" w:hAnsi="Arial" w:cs="Arial"/>
          <w:b/>
          <w:u w:val="single"/>
        </w:rPr>
        <w:t>A</w:t>
      </w:r>
      <w:r w:rsidR="008F15C8" w:rsidRPr="00CA2D26">
        <w:rPr>
          <w:rFonts w:ascii="Arial" w:hAnsi="Arial" w:cs="Arial"/>
          <w:b/>
          <w:u w:val="single"/>
        </w:rPr>
        <w:t xml:space="preserve">cknowledgements </w:t>
      </w:r>
    </w:p>
    <w:p w14:paraId="3A194ED3" w14:textId="77777777" w:rsidR="006232EE" w:rsidRDefault="005E2557" w:rsidP="005E2557">
      <w:pPr>
        <w:rPr>
          <w:rFonts w:ascii="Arial" w:hAnsi="Arial" w:cs="Arial"/>
        </w:rPr>
      </w:pPr>
      <w:r w:rsidRPr="005E2557">
        <w:rPr>
          <w:rFonts w:ascii="Arial" w:hAnsi="Arial" w:cs="Arial"/>
        </w:rPr>
        <w:t xml:space="preserve">When using these data, please cite: </w:t>
      </w:r>
      <w:r>
        <w:rPr>
          <w:rFonts w:ascii="Arial" w:hAnsi="Arial" w:cs="Arial"/>
        </w:rPr>
        <w:t>“</w:t>
      </w:r>
      <w:r w:rsidRPr="005E2557">
        <w:rPr>
          <w:rFonts w:ascii="Arial" w:hAnsi="Arial" w:cs="Arial"/>
        </w:rPr>
        <w:t>Association analyses of more than 140,000 men identify 63 new prostate cancer susceptibility loci</w:t>
      </w:r>
      <w:r>
        <w:rPr>
          <w:rFonts w:ascii="Arial" w:hAnsi="Arial" w:cs="Arial"/>
        </w:rPr>
        <w:t>”</w:t>
      </w:r>
      <w:r w:rsidRPr="005E2557">
        <w:rPr>
          <w:rFonts w:ascii="Arial" w:hAnsi="Arial" w:cs="Arial"/>
        </w:rPr>
        <w:t xml:space="preserve">. Schumacher, Al </w:t>
      </w:r>
      <w:proofErr w:type="spellStart"/>
      <w:r w:rsidRPr="005E2557">
        <w:rPr>
          <w:rFonts w:ascii="Arial" w:hAnsi="Arial" w:cs="Arial"/>
        </w:rPr>
        <w:t>Olama</w:t>
      </w:r>
      <w:proofErr w:type="spellEnd"/>
      <w:r w:rsidRPr="005E2557">
        <w:rPr>
          <w:rFonts w:ascii="Arial" w:hAnsi="Arial" w:cs="Arial"/>
        </w:rPr>
        <w:t xml:space="preserve">, Berndt, et al. </w:t>
      </w:r>
      <w:r>
        <w:rPr>
          <w:rFonts w:ascii="Arial" w:hAnsi="Arial" w:cs="Arial"/>
        </w:rPr>
        <w:t xml:space="preserve">Nature Genetics 2018, </w:t>
      </w:r>
      <w:r w:rsidR="006232EE">
        <w:rPr>
          <w:rFonts w:ascii="Arial" w:hAnsi="Arial" w:cs="Arial"/>
        </w:rPr>
        <w:t xml:space="preserve">acknowledge </w:t>
      </w:r>
      <w:r w:rsidRPr="005E2557">
        <w:rPr>
          <w:rFonts w:ascii="Arial" w:hAnsi="Arial" w:cs="Arial"/>
        </w:rPr>
        <w:t>"The PRACTICAL consortium, CRU</w:t>
      </w:r>
      <w:r w:rsidR="006232EE">
        <w:rPr>
          <w:rFonts w:ascii="Arial" w:hAnsi="Arial" w:cs="Arial"/>
        </w:rPr>
        <w:t>K, BPC3, CAPS, PEGASUS"</w:t>
      </w:r>
      <w:r w:rsidRPr="005E2557">
        <w:rPr>
          <w:rFonts w:ascii="Arial" w:hAnsi="Arial" w:cs="Arial"/>
        </w:rPr>
        <w:t xml:space="preserve">, and include the </w:t>
      </w:r>
      <w:r w:rsidR="006232EE">
        <w:rPr>
          <w:rFonts w:ascii="Arial" w:hAnsi="Arial" w:cs="Arial"/>
        </w:rPr>
        <w:t xml:space="preserve">acknowledgement detailed at </w:t>
      </w:r>
      <w:hyperlink r:id="rId10" w:history="1">
        <w:r w:rsidR="006232EE" w:rsidRPr="00D50EE0">
          <w:rPr>
            <w:rStyle w:val="Hyperlink"/>
            <w:rFonts w:ascii="Arial" w:hAnsi="Arial" w:cs="Arial"/>
          </w:rPr>
          <w:t>http://practical.icr.ac.uk/blog/?page_id=8164</w:t>
        </w:r>
      </w:hyperlink>
      <w:r w:rsidR="006232EE">
        <w:rPr>
          <w:rFonts w:ascii="Arial" w:hAnsi="Arial" w:cs="Arial"/>
        </w:rPr>
        <w:t xml:space="preserve">. </w:t>
      </w:r>
    </w:p>
    <w:p w14:paraId="5C365615" w14:textId="0D27CC8A" w:rsidR="007B5B64" w:rsidRPr="00CA2D26" w:rsidRDefault="006232EE" w:rsidP="005E2557">
      <w:pPr>
        <w:rPr>
          <w:rFonts w:ascii="Arial" w:hAnsi="Arial" w:cs="Arial"/>
        </w:rPr>
      </w:pPr>
      <w:r w:rsidRPr="006232EE">
        <w:rPr>
          <w:rFonts w:ascii="Arial" w:hAnsi="Arial" w:cs="Arial"/>
        </w:rPr>
        <w:t xml:space="preserve">Kindly send a copy of any publication </w:t>
      </w:r>
      <w:proofErr w:type="gramStart"/>
      <w:r w:rsidRPr="006232EE">
        <w:rPr>
          <w:rFonts w:ascii="Arial" w:hAnsi="Arial" w:cs="Arial"/>
        </w:rPr>
        <w:t>that results</w:t>
      </w:r>
      <w:proofErr w:type="gramEnd"/>
      <w:r w:rsidRPr="006232EE">
        <w:rPr>
          <w:rFonts w:ascii="Arial" w:hAnsi="Arial" w:cs="Arial"/>
        </w:rPr>
        <w:t xml:space="preserve"> from these data to </w:t>
      </w:r>
      <w:hyperlink r:id="rId11" w:history="1">
        <w:r w:rsidRPr="00D50EE0">
          <w:rPr>
            <w:rStyle w:val="Hyperlink"/>
            <w:rFonts w:ascii="Arial" w:hAnsi="Arial" w:cs="Arial"/>
          </w:rPr>
          <w:t>PRACTICAL@icr.ac.uk</w:t>
        </w:r>
      </w:hyperlink>
      <w:r>
        <w:rPr>
          <w:rFonts w:ascii="Arial" w:hAnsi="Arial" w:cs="Arial"/>
        </w:rPr>
        <w:t xml:space="preserve"> </w:t>
      </w:r>
    </w:p>
    <w:sectPr w:rsidR="007B5B64" w:rsidRPr="00CA2D26" w:rsidSect="003B25A7">
      <w:headerReference w:type="default" r:id="rId12"/>
      <w:footerReference w:type="default" r:id="rId13"/>
      <w:pgSz w:w="11906" w:h="16838"/>
      <w:pgMar w:top="1440" w:right="1440" w:bottom="851" w:left="144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9ADB8" w14:textId="77777777" w:rsidR="0051445E" w:rsidRDefault="0051445E" w:rsidP="00A03C09">
      <w:pPr>
        <w:spacing w:after="0" w:line="240" w:lineRule="auto"/>
      </w:pPr>
      <w:r>
        <w:separator/>
      </w:r>
    </w:p>
  </w:endnote>
  <w:endnote w:type="continuationSeparator" w:id="0">
    <w:p w14:paraId="2150B9BC" w14:textId="77777777" w:rsidR="0051445E" w:rsidRDefault="0051445E" w:rsidP="00A0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293965"/>
      <w:docPartObj>
        <w:docPartGallery w:val="Page Numbers (Bottom of Page)"/>
        <w:docPartUnique/>
      </w:docPartObj>
    </w:sdtPr>
    <w:sdtEndPr/>
    <w:sdtContent>
      <w:sdt>
        <w:sdtPr>
          <w:id w:val="-844397879"/>
          <w:docPartObj>
            <w:docPartGallery w:val="Page Numbers (Top of Page)"/>
            <w:docPartUnique/>
          </w:docPartObj>
        </w:sdtPr>
        <w:sdtEndPr/>
        <w:sdtContent>
          <w:p w14:paraId="548BAF4E" w14:textId="77777777" w:rsidR="007B5B64" w:rsidRDefault="007B5B6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D131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131A">
              <w:rPr>
                <w:b/>
                <w:bCs/>
                <w:noProof/>
              </w:rPr>
              <w:t>2</w:t>
            </w:r>
            <w:r>
              <w:rPr>
                <w:b/>
                <w:bCs/>
                <w:sz w:val="24"/>
                <w:szCs w:val="24"/>
              </w:rPr>
              <w:fldChar w:fldCharType="end"/>
            </w:r>
          </w:p>
        </w:sdtContent>
      </w:sdt>
    </w:sdtContent>
  </w:sdt>
  <w:p w14:paraId="0DD1184F" w14:textId="77777777" w:rsidR="007B5B64" w:rsidRDefault="007B5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8DF66" w14:textId="77777777" w:rsidR="0051445E" w:rsidRDefault="0051445E" w:rsidP="00A03C09">
      <w:pPr>
        <w:spacing w:after="0" w:line="240" w:lineRule="auto"/>
      </w:pPr>
      <w:r>
        <w:separator/>
      </w:r>
    </w:p>
  </w:footnote>
  <w:footnote w:type="continuationSeparator" w:id="0">
    <w:p w14:paraId="52D93474" w14:textId="77777777" w:rsidR="0051445E" w:rsidRDefault="0051445E" w:rsidP="00A03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8698F" w14:textId="6ED3D2A5" w:rsidR="00A03C09" w:rsidRPr="00A03C09" w:rsidRDefault="007B5B64" w:rsidP="00A03C09">
    <w:pPr>
      <w:pStyle w:val="Header"/>
      <w:jc w:val="right"/>
      <w:rPr>
        <w:rFonts w:ascii="Arial" w:hAnsi="Arial" w:cs="Arial"/>
        <w:sz w:val="18"/>
        <w:szCs w:val="18"/>
      </w:rPr>
    </w:pPr>
    <w:r>
      <w:rPr>
        <w:rFonts w:ascii="Arial" w:hAnsi="Arial" w:cs="Arial"/>
        <w:sz w:val="18"/>
        <w:szCs w:val="18"/>
      </w:rPr>
      <w:t xml:space="preserve">PRACTICAL </w:t>
    </w:r>
    <w:r w:rsidR="005E2557">
      <w:rPr>
        <w:rFonts w:ascii="Arial" w:hAnsi="Arial" w:cs="Arial"/>
        <w:sz w:val="18"/>
        <w:szCs w:val="18"/>
      </w:rPr>
      <w:t xml:space="preserve">meta-analysis summary </w:t>
    </w:r>
    <w:r>
      <w:rPr>
        <w:rFonts w:ascii="Arial" w:hAnsi="Arial" w:cs="Arial"/>
        <w:sz w:val="18"/>
        <w:szCs w:val="18"/>
      </w:rPr>
      <w:t>data</w:t>
    </w:r>
    <w:r w:rsidR="00A03C09" w:rsidRPr="00A03C09">
      <w:rPr>
        <w:rFonts w:ascii="Arial" w:hAnsi="Arial" w:cs="Arial"/>
        <w:sz w:val="18"/>
        <w:szCs w:val="18"/>
      </w:rPr>
      <w:t xml:space="preserve"> </w:t>
    </w:r>
    <w:r w:rsidR="00340274">
      <w:rPr>
        <w:rFonts w:ascii="Arial" w:hAnsi="Arial" w:cs="Arial"/>
        <w:sz w:val="18"/>
        <w:szCs w:val="18"/>
      </w:rPr>
      <w:t>files</w:t>
    </w:r>
    <w:r w:rsidR="005E2557">
      <w:rPr>
        <w:rFonts w:ascii="Arial" w:hAnsi="Arial" w:cs="Arial"/>
        <w:sz w:val="18"/>
        <w:szCs w:val="18"/>
      </w:rPr>
      <w:t>.</w:t>
    </w:r>
    <w:r w:rsidR="00340274">
      <w:rPr>
        <w:rFonts w:ascii="Arial" w:hAnsi="Arial" w:cs="Arial"/>
        <w:sz w:val="18"/>
        <w:szCs w:val="18"/>
      </w:rPr>
      <w:t xml:space="preserve"> </w:t>
    </w:r>
    <w:r w:rsidR="005E2557">
      <w:rPr>
        <w:rFonts w:ascii="Arial" w:hAnsi="Arial" w:cs="Arial"/>
        <w:sz w:val="18"/>
        <w:szCs w:val="18"/>
      </w:rPr>
      <w:t>November</w:t>
    </w:r>
    <w:r w:rsidR="00F14E4D">
      <w:rPr>
        <w:rFonts w:ascii="Arial" w:hAnsi="Arial" w:cs="Arial"/>
        <w:sz w:val="18"/>
        <w:szCs w:val="18"/>
      </w:rPr>
      <w:t xml:space="preserve"> 201</w:t>
    </w:r>
    <w:r w:rsidR="009B7F91">
      <w:rPr>
        <w:rFonts w:ascii="Arial" w:hAnsi="Arial" w:cs="Arial"/>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173E"/>
    <w:multiLevelType w:val="hybridMultilevel"/>
    <w:tmpl w:val="971EE6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313E93"/>
    <w:multiLevelType w:val="hybridMultilevel"/>
    <w:tmpl w:val="B8FC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183F23"/>
    <w:multiLevelType w:val="hybridMultilevel"/>
    <w:tmpl w:val="CF30E8CA"/>
    <w:lvl w:ilvl="0" w:tplc="55DE82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8F7DAC"/>
    <w:multiLevelType w:val="hybridMultilevel"/>
    <w:tmpl w:val="772C3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894C39"/>
    <w:multiLevelType w:val="hybridMultilevel"/>
    <w:tmpl w:val="AEF2E8A8"/>
    <w:lvl w:ilvl="0" w:tplc="D7FC8F8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EC6F80"/>
    <w:multiLevelType w:val="hybridMultilevel"/>
    <w:tmpl w:val="7190030A"/>
    <w:lvl w:ilvl="0" w:tplc="63EEFDE6">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EDC0F41"/>
    <w:multiLevelType w:val="hybridMultilevel"/>
    <w:tmpl w:val="B8B8F5E8"/>
    <w:lvl w:ilvl="0" w:tplc="55DE82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4046C5"/>
    <w:multiLevelType w:val="hybridMultilevel"/>
    <w:tmpl w:val="592411FC"/>
    <w:lvl w:ilvl="0" w:tplc="094858DC">
      <w:numFmt w:val="bullet"/>
      <w:lvlText w:val="-"/>
      <w:lvlJc w:val="left"/>
      <w:pPr>
        <w:ind w:left="720" w:hanging="360"/>
      </w:pPr>
      <w:rPr>
        <w:rFonts w:ascii="Arial" w:eastAsiaTheme="minorHAnsi" w:hAnsi="Arial" w:cs="Ari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DF76A2"/>
    <w:multiLevelType w:val="hybridMultilevel"/>
    <w:tmpl w:val="FF7E3B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D0B08DF"/>
    <w:multiLevelType w:val="hybridMultilevel"/>
    <w:tmpl w:val="317A77A4"/>
    <w:lvl w:ilvl="0" w:tplc="3036D0A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9D76EE"/>
    <w:multiLevelType w:val="hybridMultilevel"/>
    <w:tmpl w:val="A3A21FE2"/>
    <w:lvl w:ilvl="0" w:tplc="63EEFDE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DFD5831"/>
    <w:multiLevelType w:val="hybridMultilevel"/>
    <w:tmpl w:val="156AF480"/>
    <w:lvl w:ilvl="0" w:tplc="620CDE80">
      <w:numFmt w:val="bullet"/>
      <w:lvlText w:val="-"/>
      <w:lvlJc w:val="left"/>
      <w:pPr>
        <w:ind w:left="720" w:hanging="360"/>
      </w:pPr>
      <w:rPr>
        <w:rFonts w:ascii="Arial" w:eastAsiaTheme="minorHAnsi"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7F7D2E8F"/>
    <w:multiLevelType w:val="hybridMultilevel"/>
    <w:tmpl w:val="344466DE"/>
    <w:lvl w:ilvl="0" w:tplc="6D1A0F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0"/>
  </w:num>
  <w:num w:numId="6">
    <w:abstractNumId w:val="12"/>
  </w:num>
  <w:num w:numId="7">
    <w:abstractNumId w:val="8"/>
  </w:num>
  <w:num w:numId="8">
    <w:abstractNumId w:val="3"/>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87"/>
    <w:rsid w:val="0003351B"/>
    <w:rsid w:val="00035E31"/>
    <w:rsid w:val="00076878"/>
    <w:rsid w:val="00084D3F"/>
    <w:rsid w:val="000B155C"/>
    <w:rsid w:val="000D131A"/>
    <w:rsid w:val="000E13E2"/>
    <w:rsid w:val="000E70AC"/>
    <w:rsid w:val="00112CB6"/>
    <w:rsid w:val="001250E1"/>
    <w:rsid w:val="0013131A"/>
    <w:rsid w:val="00182C8B"/>
    <w:rsid w:val="001A1B0D"/>
    <w:rsid w:val="002225CB"/>
    <w:rsid w:val="00227C64"/>
    <w:rsid w:val="00232275"/>
    <w:rsid w:val="00243F81"/>
    <w:rsid w:val="00277A16"/>
    <w:rsid w:val="00293C4B"/>
    <w:rsid w:val="002A2088"/>
    <w:rsid w:val="002D4F36"/>
    <w:rsid w:val="002F2FB6"/>
    <w:rsid w:val="00302AAA"/>
    <w:rsid w:val="00340274"/>
    <w:rsid w:val="00345170"/>
    <w:rsid w:val="003A0B8E"/>
    <w:rsid w:val="003A0FAD"/>
    <w:rsid w:val="003B25A7"/>
    <w:rsid w:val="003D0478"/>
    <w:rsid w:val="00427AEE"/>
    <w:rsid w:val="004451AF"/>
    <w:rsid w:val="00485C29"/>
    <w:rsid w:val="004A3676"/>
    <w:rsid w:val="004A7487"/>
    <w:rsid w:val="004E0D5A"/>
    <w:rsid w:val="0051445E"/>
    <w:rsid w:val="0053307D"/>
    <w:rsid w:val="005E1BD8"/>
    <w:rsid w:val="005E2557"/>
    <w:rsid w:val="005F5DD9"/>
    <w:rsid w:val="006103D2"/>
    <w:rsid w:val="006232EE"/>
    <w:rsid w:val="0067582F"/>
    <w:rsid w:val="00693316"/>
    <w:rsid w:val="0074591B"/>
    <w:rsid w:val="00764DC1"/>
    <w:rsid w:val="007A17D9"/>
    <w:rsid w:val="007B0179"/>
    <w:rsid w:val="007B1F04"/>
    <w:rsid w:val="007B5B64"/>
    <w:rsid w:val="00820DDE"/>
    <w:rsid w:val="00834702"/>
    <w:rsid w:val="00836818"/>
    <w:rsid w:val="00841FD0"/>
    <w:rsid w:val="00846C36"/>
    <w:rsid w:val="008574D6"/>
    <w:rsid w:val="00867C59"/>
    <w:rsid w:val="0088274A"/>
    <w:rsid w:val="008872E8"/>
    <w:rsid w:val="00891ABC"/>
    <w:rsid w:val="008F15C8"/>
    <w:rsid w:val="00924C78"/>
    <w:rsid w:val="00941394"/>
    <w:rsid w:val="009B7F91"/>
    <w:rsid w:val="00A03C09"/>
    <w:rsid w:val="00A5071B"/>
    <w:rsid w:val="00A556BC"/>
    <w:rsid w:val="00A70E83"/>
    <w:rsid w:val="00A837CA"/>
    <w:rsid w:val="00AB0805"/>
    <w:rsid w:val="00AB159C"/>
    <w:rsid w:val="00AC17D4"/>
    <w:rsid w:val="00AF2D7B"/>
    <w:rsid w:val="00B31F91"/>
    <w:rsid w:val="00B532FC"/>
    <w:rsid w:val="00B74C22"/>
    <w:rsid w:val="00B93E58"/>
    <w:rsid w:val="00BA5C4D"/>
    <w:rsid w:val="00CA2D26"/>
    <w:rsid w:val="00CB61C0"/>
    <w:rsid w:val="00D06E64"/>
    <w:rsid w:val="00D07CFD"/>
    <w:rsid w:val="00D16E2E"/>
    <w:rsid w:val="00D46A09"/>
    <w:rsid w:val="00D506F5"/>
    <w:rsid w:val="00DC2F69"/>
    <w:rsid w:val="00E066A6"/>
    <w:rsid w:val="00E95C2B"/>
    <w:rsid w:val="00ED6EF7"/>
    <w:rsid w:val="00F14E4D"/>
    <w:rsid w:val="00F22EF4"/>
    <w:rsid w:val="00F52596"/>
    <w:rsid w:val="00FF7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900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C09"/>
  </w:style>
  <w:style w:type="paragraph" w:styleId="Footer">
    <w:name w:val="footer"/>
    <w:basedOn w:val="Normal"/>
    <w:link w:val="FooterChar"/>
    <w:uiPriority w:val="99"/>
    <w:unhideWhenUsed/>
    <w:rsid w:val="00A03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C09"/>
  </w:style>
  <w:style w:type="paragraph" w:styleId="BalloonText">
    <w:name w:val="Balloon Text"/>
    <w:basedOn w:val="Normal"/>
    <w:link w:val="BalloonTextChar"/>
    <w:uiPriority w:val="99"/>
    <w:semiHidden/>
    <w:unhideWhenUsed/>
    <w:rsid w:val="00A03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C09"/>
    <w:rPr>
      <w:rFonts w:ascii="Tahoma" w:hAnsi="Tahoma" w:cs="Tahoma"/>
      <w:sz w:val="16"/>
      <w:szCs w:val="16"/>
    </w:rPr>
  </w:style>
  <w:style w:type="character" w:styleId="LineNumber">
    <w:name w:val="line number"/>
    <w:basedOn w:val="DefaultParagraphFont"/>
    <w:uiPriority w:val="99"/>
    <w:semiHidden/>
    <w:unhideWhenUsed/>
    <w:rsid w:val="007B5B64"/>
  </w:style>
  <w:style w:type="paragraph" w:styleId="ListParagraph">
    <w:name w:val="List Paragraph"/>
    <w:basedOn w:val="Normal"/>
    <w:uiPriority w:val="34"/>
    <w:qFormat/>
    <w:rsid w:val="00A556BC"/>
    <w:pPr>
      <w:ind w:left="720"/>
      <w:contextualSpacing/>
    </w:pPr>
  </w:style>
  <w:style w:type="character" w:styleId="Hyperlink">
    <w:name w:val="Hyperlink"/>
    <w:basedOn w:val="DefaultParagraphFont"/>
    <w:uiPriority w:val="99"/>
    <w:unhideWhenUsed/>
    <w:rsid w:val="001A1B0D"/>
    <w:rPr>
      <w:color w:val="0000FF" w:themeColor="hyperlink"/>
      <w:u w:val="single"/>
    </w:rPr>
  </w:style>
  <w:style w:type="character" w:styleId="CommentReference">
    <w:name w:val="annotation reference"/>
    <w:basedOn w:val="DefaultParagraphFont"/>
    <w:uiPriority w:val="99"/>
    <w:semiHidden/>
    <w:unhideWhenUsed/>
    <w:rsid w:val="008574D6"/>
    <w:rPr>
      <w:sz w:val="16"/>
      <w:szCs w:val="16"/>
    </w:rPr>
  </w:style>
  <w:style w:type="paragraph" w:styleId="CommentText">
    <w:name w:val="annotation text"/>
    <w:basedOn w:val="Normal"/>
    <w:link w:val="CommentTextChar"/>
    <w:uiPriority w:val="99"/>
    <w:semiHidden/>
    <w:unhideWhenUsed/>
    <w:rsid w:val="008574D6"/>
    <w:pPr>
      <w:spacing w:line="240" w:lineRule="auto"/>
    </w:pPr>
    <w:rPr>
      <w:sz w:val="20"/>
      <w:szCs w:val="20"/>
    </w:rPr>
  </w:style>
  <w:style w:type="character" w:customStyle="1" w:styleId="CommentTextChar">
    <w:name w:val="Comment Text Char"/>
    <w:basedOn w:val="DefaultParagraphFont"/>
    <w:link w:val="CommentText"/>
    <w:uiPriority w:val="99"/>
    <w:semiHidden/>
    <w:rsid w:val="008574D6"/>
    <w:rPr>
      <w:sz w:val="20"/>
      <w:szCs w:val="20"/>
    </w:rPr>
  </w:style>
  <w:style w:type="paragraph" w:styleId="CommentSubject">
    <w:name w:val="annotation subject"/>
    <w:basedOn w:val="CommentText"/>
    <w:next w:val="CommentText"/>
    <w:link w:val="CommentSubjectChar"/>
    <w:uiPriority w:val="99"/>
    <w:semiHidden/>
    <w:unhideWhenUsed/>
    <w:rsid w:val="008574D6"/>
    <w:rPr>
      <w:b/>
      <w:bCs/>
    </w:rPr>
  </w:style>
  <w:style w:type="character" w:customStyle="1" w:styleId="CommentSubjectChar">
    <w:name w:val="Comment Subject Char"/>
    <w:basedOn w:val="CommentTextChar"/>
    <w:link w:val="CommentSubject"/>
    <w:uiPriority w:val="99"/>
    <w:semiHidden/>
    <w:rsid w:val="008574D6"/>
    <w:rPr>
      <w:b/>
      <w:bCs/>
      <w:sz w:val="20"/>
      <w:szCs w:val="20"/>
    </w:rPr>
  </w:style>
  <w:style w:type="character" w:styleId="FollowedHyperlink">
    <w:name w:val="FollowedHyperlink"/>
    <w:basedOn w:val="DefaultParagraphFont"/>
    <w:uiPriority w:val="99"/>
    <w:semiHidden/>
    <w:unhideWhenUsed/>
    <w:rsid w:val="00841F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C09"/>
  </w:style>
  <w:style w:type="paragraph" w:styleId="Footer">
    <w:name w:val="footer"/>
    <w:basedOn w:val="Normal"/>
    <w:link w:val="FooterChar"/>
    <w:uiPriority w:val="99"/>
    <w:unhideWhenUsed/>
    <w:rsid w:val="00A03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C09"/>
  </w:style>
  <w:style w:type="paragraph" w:styleId="BalloonText">
    <w:name w:val="Balloon Text"/>
    <w:basedOn w:val="Normal"/>
    <w:link w:val="BalloonTextChar"/>
    <w:uiPriority w:val="99"/>
    <w:semiHidden/>
    <w:unhideWhenUsed/>
    <w:rsid w:val="00A03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C09"/>
    <w:rPr>
      <w:rFonts w:ascii="Tahoma" w:hAnsi="Tahoma" w:cs="Tahoma"/>
      <w:sz w:val="16"/>
      <w:szCs w:val="16"/>
    </w:rPr>
  </w:style>
  <w:style w:type="character" w:styleId="LineNumber">
    <w:name w:val="line number"/>
    <w:basedOn w:val="DefaultParagraphFont"/>
    <w:uiPriority w:val="99"/>
    <w:semiHidden/>
    <w:unhideWhenUsed/>
    <w:rsid w:val="007B5B64"/>
  </w:style>
  <w:style w:type="paragraph" w:styleId="ListParagraph">
    <w:name w:val="List Paragraph"/>
    <w:basedOn w:val="Normal"/>
    <w:uiPriority w:val="34"/>
    <w:qFormat/>
    <w:rsid w:val="00A556BC"/>
    <w:pPr>
      <w:ind w:left="720"/>
      <w:contextualSpacing/>
    </w:pPr>
  </w:style>
  <w:style w:type="character" w:styleId="Hyperlink">
    <w:name w:val="Hyperlink"/>
    <w:basedOn w:val="DefaultParagraphFont"/>
    <w:uiPriority w:val="99"/>
    <w:unhideWhenUsed/>
    <w:rsid w:val="001A1B0D"/>
    <w:rPr>
      <w:color w:val="0000FF" w:themeColor="hyperlink"/>
      <w:u w:val="single"/>
    </w:rPr>
  </w:style>
  <w:style w:type="character" w:styleId="CommentReference">
    <w:name w:val="annotation reference"/>
    <w:basedOn w:val="DefaultParagraphFont"/>
    <w:uiPriority w:val="99"/>
    <w:semiHidden/>
    <w:unhideWhenUsed/>
    <w:rsid w:val="008574D6"/>
    <w:rPr>
      <w:sz w:val="16"/>
      <w:szCs w:val="16"/>
    </w:rPr>
  </w:style>
  <w:style w:type="paragraph" w:styleId="CommentText">
    <w:name w:val="annotation text"/>
    <w:basedOn w:val="Normal"/>
    <w:link w:val="CommentTextChar"/>
    <w:uiPriority w:val="99"/>
    <w:semiHidden/>
    <w:unhideWhenUsed/>
    <w:rsid w:val="008574D6"/>
    <w:pPr>
      <w:spacing w:line="240" w:lineRule="auto"/>
    </w:pPr>
    <w:rPr>
      <w:sz w:val="20"/>
      <w:szCs w:val="20"/>
    </w:rPr>
  </w:style>
  <w:style w:type="character" w:customStyle="1" w:styleId="CommentTextChar">
    <w:name w:val="Comment Text Char"/>
    <w:basedOn w:val="DefaultParagraphFont"/>
    <w:link w:val="CommentText"/>
    <w:uiPriority w:val="99"/>
    <w:semiHidden/>
    <w:rsid w:val="008574D6"/>
    <w:rPr>
      <w:sz w:val="20"/>
      <w:szCs w:val="20"/>
    </w:rPr>
  </w:style>
  <w:style w:type="paragraph" w:styleId="CommentSubject">
    <w:name w:val="annotation subject"/>
    <w:basedOn w:val="CommentText"/>
    <w:next w:val="CommentText"/>
    <w:link w:val="CommentSubjectChar"/>
    <w:uiPriority w:val="99"/>
    <w:semiHidden/>
    <w:unhideWhenUsed/>
    <w:rsid w:val="008574D6"/>
    <w:rPr>
      <w:b/>
      <w:bCs/>
    </w:rPr>
  </w:style>
  <w:style w:type="character" w:customStyle="1" w:styleId="CommentSubjectChar">
    <w:name w:val="Comment Subject Char"/>
    <w:basedOn w:val="CommentTextChar"/>
    <w:link w:val="CommentSubject"/>
    <w:uiPriority w:val="99"/>
    <w:semiHidden/>
    <w:rsid w:val="008574D6"/>
    <w:rPr>
      <w:b/>
      <w:bCs/>
      <w:sz w:val="20"/>
      <w:szCs w:val="20"/>
    </w:rPr>
  </w:style>
  <w:style w:type="character" w:styleId="FollowedHyperlink">
    <w:name w:val="FollowedHyperlink"/>
    <w:basedOn w:val="DefaultParagraphFont"/>
    <w:uiPriority w:val="99"/>
    <w:semiHidden/>
    <w:unhideWhenUsed/>
    <w:rsid w:val="00841F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258">
      <w:bodyDiv w:val="1"/>
      <w:marLeft w:val="0"/>
      <w:marRight w:val="0"/>
      <w:marTop w:val="0"/>
      <w:marBottom w:val="0"/>
      <w:divBdr>
        <w:top w:val="none" w:sz="0" w:space="0" w:color="auto"/>
        <w:left w:val="none" w:sz="0" w:space="0" w:color="auto"/>
        <w:bottom w:val="none" w:sz="0" w:space="0" w:color="auto"/>
        <w:right w:val="none" w:sz="0" w:space="0" w:color="auto"/>
      </w:divBdr>
    </w:div>
    <w:div w:id="83303942">
      <w:bodyDiv w:val="1"/>
      <w:marLeft w:val="0"/>
      <w:marRight w:val="0"/>
      <w:marTop w:val="0"/>
      <w:marBottom w:val="0"/>
      <w:divBdr>
        <w:top w:val="none" w:sz="0" w:space="0" w:color="auto"/>
        <w:left w:val="none" w:sz="0" w:space="0" w:color="auto"/>
        <w:bottom w:val="none" w:sz="0" w:space="0" w:color="auto"/>
        <w:right w:val="none" w:sz="0" w:space="0" w:color="auto"/>
      </w:divBdr>
    </w:div>
    <w:div w:id="229775532">
      <w:bodyDiv w:val="1"/>
      <w:marLeft w:val="0"/>
      <w:marRight w:val="0"/>
      <w:marTop w:val="0"/>
      <w:marBottom w:val="0"/>
      <w:divBdr>
        <w:top w:val="none" w:sz="0" w:space="0" w:color="auto"/>
        <w:left w:val="none" w:sz="0" w:space="0" w:color="auto"/>
        <w:bottom w:val="none" w:sz="0" w:space="0" w:color="auto"/>
        <w:right w:val="none" w:sz="0" w:space="0" w:color="auto"/>
      </w:divBdr>
    </w:div>
    <w:div w:id="370963506">
      <w:bodyDiv w:val="1"/>
      <w:marLeft w:val="0"/>
      <w:marRight w:val="0"/>
      <w:marTop w:val="0"/>
      <w:marBottom w:val="0"/>
      <w:divBdr>
        <w:top w:val="none" w:sz="0" w:space="0" w:color="auto"/>
        <w:left w:val="none" w:sz="0" w:space="0" w:color="auto"/>
        <w:bottom w:val="none" w:sz="0" w:space="0" w:color="auto"/>
        <w:right w:val="none" w:sz="0" w:space="0" w:color="auto"/>
      </w:divBdr>
    </w:div>
    <w:div w:id="732773554">
      <w:bodyDiv w:val="1"/>
      <w:marLeft w:val="0"/>
      <w:marRight w:val="0"/>
      <w:marTop w:val="0"/>
      <w:marBottom w:val="0"/>
      <w:divBdr>
        <w:top w:val="none" w:sz="0" w:space="0" w:color="auto"/>
        <w:left w:val="none" w:sz="0" w:space="0" w:color="auto"/>
        <w:bottom w:val="none" w:sz="0" w:space="0" w:color="auto"/>
        <w:right w:val="none" w:sz="0" w:space="0" w:color="auto"/>
      </w:divBdr>
    </w:div>
    <w:div w:id="1352343507">
      <w:bodyDiv w:val="1"/>
      <w:marLeft w:val="0"/>
      <w:marRight w:val="0"/>
      <w:marTop w:val="0"/>
      <w:marBottom w:val="0"/>
      <w:divBdr>
        <w:top w:val="none" w:sz="0" w:space="0" w:color="auto"/>
        <w:left w:val="none" w:sz="0" w:space="0" w:color="auto"/>
        <w:bottom w:val="none" w:sz="0" w:space="0" w:color="auto"/>
        <w:right w:val="none" w:sz="0" w:space="0" w:color="auto"/>
      </w:divBdr>
    </w:div>
    <w:div w:id="1447504944">
      <w:bodyDiv w:val="1"/>
      <w:marLeft w:val="0"/>
      <w:marRight w:val="0"/>
      <w:marTop w:val="0"/>
      <w:marBottom w:val="0"/>
      <w:divBdr>
        <w:top w:val="none" w:sz="0" w:space="0" w:color="auto"/>
        <w:left w:val="none" w:sz="0" w:space="0" w:color="auto"/>
        <w:bottom w:val="none" w:sz="0" w:space="0" w:color="auto"/>
        <w:right w:val="none" w:sz="0" w:space="0" w:color="auto"/>
      </w:divBdr>
    </w:div>
    <w:div w:id="1644265408">
      <w:bodyDiv w:val="1"/>
      <w:marLeft w:val="0"/>
      <w:marRight w:val="0"/>
      <w:marTop w:val="0"/>
      <w:marBottom w:val="0"/>
      <w:divBdr>
        <w:top w:val="none" w:sz="0" w:space="0" w:color="auto"/>
        <w:left w:val="none" w:sz="0" w:space="0" w:color="auto"/>
        <w:bottom w:val="none" w:sz="0" w:space="0" w:color="auto"/>
        <w:right w:val="none" w:sz="0" w:space="0" w:color="auto"/>
      </w:divBdr>
    </w:div>
    <w:div w:id="1645818433">
      <w:bodyDiv w:val="1"/>
      <w:marLeft w:val="0"/>
      <w:marRight w:val="0"/>
      <w:marTop w:val="0"/>
      <w:marBottom w:val="0"/>
      <w:divBdr>
        <w:top w:val="none" w:sz="0" w:space="0" w:color="auto"/>
        <w:left w:val="none" w:sz="0" w:space="0" w:color="auto"/>
        <w:bottom w:val="none" w:sz="0" w:space="0" w:color="auto"/>
        <w:right w:val="none" w:sz="0" w:space="0" w:color="auto"/>
      </w:divBdr>
    </w:div>
    <w:div w:id="1926843876">
      <w:bodyDiv w:val="1"/>
      <w:marLeft w:val="0"/>
      <w:marRight w:val="0"/>
      <w:marTop w:val="0"/>
      <w:marBottom w:val="0"/>
      <w:divBdr>
        <w:top w:val="none" w:sz="0" w:space="0" w:color="auto"/>
        <w:left w:val="none" w:sz="0" w:space="0" w:color="auto"/>
        <w:bottom w:val="none" w:sz="0" w:space="0" w:color="auto"/>
        <w:right w:val="none" w:sz="0" w:space="0" w:color="auto"/>
      </w:divBdr>
    </w:div>
    <w:div w:id="1957522026">
      <w:bodyDiv w:val="1"/>
      <w:marLeft w:val="0"/>
      <w:marRight w:val="0"/>
      <w:marTop w:val="0"/>
      <w:marBottom w:val="0"/>
      <w:divBdr>
        <w:top w:val="none" w:sz="0" w:space="0" w:color="auto"/>
        <w:left w:val="none" w:sz="0" w:space="0" w:color="auto"/>
        <w:bottom w:val="none" w:sz="0" w:space="0" w:color="auto"/>
        <w:right w:val="none" w:sz="0" w:space="0" w:color="auto"/>
      </w:divBdr>
    </w:div>
    <w:div w:id="200081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ACTICAL@icr.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ractical.icr.ac.uk/blog/?page_id=8164" TargetMode="External"/><Relationship Id="rId4" Type="http://schemas.microsoft.com/office/2007/relationships/stylesWithEffects" Target="stylesWithEffects.xml"/><Relationship Id="rId9" Type="http://schemas.openxmlformats.org/officeDocument/2006/relationships/hyperlink" Target="http://practical.icr.ac.uk/blog/?page_id=629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D8CA0-7001-4322-AD75-D81BE03E1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Benlloch</dc:creator>
  <cp:lastModifiedBy>Mark Brook</cp:lastModifiedBy>
  <cp:revision>6</cp:revision>
  <cp:lastPrinted>2016-12-02T11:04:00Z</cp:lastPrinted>
  <dcterms:created xsi:type="dcterms:W3CDTF">2018-11-22T14:35:00Z</dcterms:created>
  <dcterms:modified xsi:type="dcterms:W3CDTF">2018-11-22T15:58:00Z</dcterms:modified>
</cp:coreProperties>
</file>